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DAF6">
      <w:pPr>
        <w:spacing w:line="600" w:lineRule="exact"/>
        <w:ind w:firstLine="883" w:firstLineChars="20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单位业务专项经费类项目部门评价</w:t>
      </w:r>
    </w:p>
    <w:p w14:paraId="162A3829">
      <w:pPr>
        <w:spacing w:line="600" w:lineRule="exact"/>
        <w:ind w:firstLine="883" w:firstLineChars="20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报告</w:t>
      </w:r>
    </w:p>
    <w:p w14:paraId="73682CDC">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一、基本情况</w:t>
      </w:r>
    </w:p>
    <w:p w14:paraId="112D6FBB">
      <w:pPr>
        <w:spacing w:line="600" w:lineRule="exact"/>
        <w:ind w:firstLine="643" w:firstLineChars="200"/>
        <w:outlineLvl w:val="0"/>
        <w:rPr>
          <w:rFonts w:hint="eastAsia" w:ascii="楷体_GB2312" w:eastAsia="楷体_GB2312"/>
          <w:b/>
          <w:color w:val="000000"/>
          <w:sz w:val="32"/>
          <w:szCs w:val="32"/>
        </w:rPr>
      </w:pPr>
      <w:r>
        <w:rPr>
          <w:rFonts w:hint="eastAsia" w:ascii="楷体_GB2312" w:eastAsia="楷体_GB2312"/>
          <w:b/>
          <w:color w:val="000000"/>
          <w:sz w:val="32"/>
          <w:szCs w:val="32"/>
        </w:rPr>
        <w:t>（一）项目概况。包括项目背景、主要内容及实施情况、资金投入和使用情况等。</w:t>
      </w:r>
    </w:p>
    <w:p w14:paraId="1004E4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i w:val="0"/>
          <w:iCs/>
          <w:color w:val="auto"/>
          <w:spacing w:val="0"/>
          <w:sz w:val="32"/>
          <w:szCs w:val="32"/>
          <w:lang w:val="en-US" w:eastAsia="zh-CN"/>
        </w:rPr>
        <w:t>始终坚持以习近平新时代中国特色社会主义思想为指导，深学笃行习近平总书记关于应急管理重要论述，把守护人民生命安全作为最现实的“国之大者”，在战略上更加主动，在区委区政府和市应急管理局坚强领导下，牢固树立“一盘棋”思想，全力做好各项应急管理工作</w:t>
      </w:r>
      <w:r>
        <w:rPr>
          <w:rFonts w:hint="eastAsia" w:ascii="仿宋_GB2312" w:hAnsi="仿宋_GB2312" w:eastAsia="仿宋_GB2312" w:cs="仿宋_GB2312"/>
          <w:b w:val="0"/>
          <w:bCs/>
          <w:color w:val="000000"/>
          <w:sz w:val="32"/>
          <w:szCs w:val="32"/>
          <w:lang w:val="en-US" w:eastAsia="zh-CN"/>
        </w:rPr>
        <w:t>。2023年资金投入总额1815.85</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val="0"/>
          <w:bCs/>
          <w:color w:val="000000"/>
          <w:sz w:val="32"/>
          <w:szCs w:val="32"/>
          <w:lang w:eastAsia="zh-CN"/>
        </w:rPr>
        <w:t>其中财政资金投入</w:t>
      </w:r>
      <w:r>
        <w:rPr>
          <w:rFonts w:hint="eastAsia" w:ascii="仿宋_GB2312" w:hAnsi="仿宋_GB2312" w:eastAsia="仿宋_GB2312" w:cs="仿宋_GB2312"/>
          <w:b w:val="0"/>
          <w:bCs/>
          <w:color w:val="000000"/>
          <w:sz w:val="32"/>
          <w:szCs w:val="32"/>
          <w:lang w:val="en-US" w:eastAsia="zh-CN"/>
        </w:rPr>
        <w:t>1815.85万元，</w:t>
      </w:r>
      <w:r>
        <w:rPr>
          <w:rFonts w:hint="eastAsia" w:ascii="仿宋_GB2312" w:hAnsi="仿宋_GB2312" w:eastAsia="仿宋_GB2312" w:cs="仿宋_GB2312"/>
          <w:b w:val="0"/>
          <w:bCs/>
          <w:color w:val="000000"/>
          <w:sz w:val="32"/>
          <w:szCs w:val="32"/>
        </w:rPr>
        <w:t>该项资金</w:t>
      </w:r>
      <w:r>
        <w:rPr>
          <w:rFonts w:hint="eastAsia" w:ascii="仿宋_GB2312" w:hAnsi="仿宋_GB2312" w:eastAsia="仿宋_GB2312" w:cs="仿宋_GB2312"/>
          <w:b w:val="0"/>
          <w:bCs/>
          <w:color w:val="000000"/>
          <w:sz w:val="32"/>
          <w:szCs w:val="32"/>
          <w:lang w:val="en-US" w:eastAsia="zh-CN"/>
        </w:rPr>
        <w:t>使用1476.93万元</w:t>
      </w:r>
      <w:r>
        <w:rPr>
          <w:rFonts w:hint="eastAsia" w:ascii="仿宋_GB2312" w:hAnsi="仿宋_GB2312" w:eastAsia="仿宋_GB2312" w:cs="仿宋_GB2312"/>
          <w:b w:val="0"/>
          <w:bCs/>
          <w:color w:val="000000"/>
          <w:sz w:val="32"/>
          <w:szCs w:val="32"/>
        </w:rPr>
        <w:t>。</w:t>
      </w:r>
    </w:p>
    <w:p w14:paraId="2CD0FDC0">
      <w:pPr>
        <w:numPr>
          <w:ilvl w:val="0"/>
          <w:numId w:val="0"/>
        </w:numPr>
        <w:spacing w:line="600" w:lineRule="exact"/>
        <w:ind w:firstLine="643" w:firstLineChars="200"/>
        <w:outlineLvl w:val="0"/>
        <w:rPr>
          <w:rFonts w:hint="eastAsia" w:ascii="楷体_GB2312" w:eastAsia="楷体_GB2312"/>
          <w:b/>
          <w:color w:val="000000"/>
          <w:sz w:val="32"/>
          <w:szCs w:val="32"/>
        </w:rPr>
      </w:pPr>
      <w:r>
        <w:rPr>
          <w:rFonts w:hint="eastAsia" w:ascii="楷体_GB2312" w:eastAsia="楷体_GB2312"/>
          <w:b/>
          <w:color w:val="000000"/>
          <w:sz w:val="32"/>
          <w:szCs w:val="32"/>
          <w:lang w:eastAsia="zh-CN"/>
        </w:rPr>
        <w:t>（二）</w:t>
      </w:r>
      <w:r>
        <w:rPr>
          <w:rFonts w:hint="eastAsia" w:ascii="楷体_GB2312" w:eastAsia="楷体_GB2312"/>
          <w:b/>
          <w:color w:val="000000"/>
          <w:sz w:val="32"/>
          <w:szCs w:val="32"/>
        </w:rPr>
        <w:t>项目绩效目标。包括总体目标和阶段性目标。</w:t>
      </w:r>
    </w:p>
    <w:p w14:paraId="58A0C0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围绕实现“从根本上消除隐患、从根本上解决问题”的目标，完善安全生产责任制，优化完善安全生产</w:t>
      </w:r>
      <w:bookmarkStart w:id="0" w:name="_GoBack"/>
      <w:bookmarkEnd w:id="0"/>
      <w:r>
        <w:rPr>
          <w:rFonts w:hint="eastAsia" w:ascii="仿宋_GB2312" w:hAnsi="仿宋_GB2312" w:eastAsia="仿宋_GB2312" w:cs="仿宋_GB2312"/>
          <w:sz w:val="32"/>
          <w:szCs w:val="32"/>
          <w:lang w:val="en-US" w:eastAsia="zh-CN"/>
        </w:rPr>
        <w:t>委员会设置，落实行业监管责任，建立联动工作机制，强化新风险新业态监管，防止事前事中出现盲区，持续强化“五个一”“十个一次”等活动，落实“一报告、双签字”制度，推动企业主体责任落实。理顺涉灾部门“防”“救”责任，压实重点工程、重要设施和关键区域的主体责任。</w:t>
      </w:r>
    </w:p>
    <w:p w14:paraId="064BC0B2">
      <w:pPr>
        <w:numPr>
          <w:ilvl w:val="0"/>
          <w:numId w:val="0"/>
        </w:numPr>
        <w:spacing w:line="600" w:lineRule="exact"/>
        <w:outlineLvl w:val="0"/>
        <w:rPr>
          <w:rFonts w:hint="eastAsia" w:ascii="楷体_GB2312" w:eastAsia="楷体_GB2312"/>
          <w:b/>
          <w:color w:val="000000"/>
          <w:sz w:val="32"/>
          <w:szCs w:val="32"/>
        </w:rPr>
      </w:pPr>
    </w:p>
    <w:p w14:paraId="1E009581">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二、绩效评价工作开展情况</w:t>
      </w:r>
    </w:p>
    <w:p w14:paraId="5276E963">
      <w:pPr>
        <w:spacing w:line="600" w:lineRule="exact"/>
        <w:ind w:firstLine="643" w:firstLineChars="200"/>
        <w:outlineLvl w:val="0"/>
        <w:rPr>
          <w:rFonts w:hint="eastAsia" w:ascii="楷体_GB2312" w:eastAsia="楷体_GB2312"/>
          <w:b/>
          <w:color w:val="000000"/>
          <w:sz w:val="32"/>
          <w:szCs w:val="32"/>
        </w:rPr>
      </w:pPr>
      <w:r>
        <w:rPr>
          <w:rFonts w:hint="eastAsia" w:ascii="楷体_GB2312" w:eastAsia="楷体_GB2312"/>
          <w:b/>
          <w:color w:val="000000"/>
          <w:sz w:val="32"/>
          <w:szCs w:val="32"/>
        </w:rPr>
        <w:t>（一）绩效评价目的、对象和范围。</w:t>
      </w:r>
    </w:p>
    <w:p w14:paraId="3E32051A">
      <w:p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绩效评价目的：通过开展财政支出项目绩效评价，了解项目进展、资金使用、制度建设和项目执行情况，取得的成效。总结经验，发现问题，提出整改意见和建议。与此同时，通过绩效评价，进一步完善制度、加强项目管理和监督，确保项目资金使用管理的规范性、安全性和有效性，为指导预算编制、申报绩效目标，优化财政支出结构，提高公共服务水平提供决策依据。</w:t>
      </w:r>
    </w:p>
    <w:p w14:paraId="51AA9D79">
      <w:pPr>
        <w:spacing w:line="600" w:lineRule="exact"/>
        <w:ind w:firstLine="643" w:firstLineChars="200"/>
        <w:outlineLvl w:val="0"/>
        <w:rPr>
          <w:rFonts w:hint="eastAsia" w:ascii="楷体_GB2312" w:eastAsia="楷体_GB2312"/>
          <w:b/>
          <w:color w:val="000000"/>
          <w:sz w:val="32"/>
          <w:szCs w:val="32"/>
        </w:rPr>
      </w:pPr>
      <w:r>
        <w:rPr>
          <w:rFonts w:hint="eastAsia" w:ascii="楷体_GB2312" w:eastAsia="楷体_GB2312"/>
          <w:b/>
          <w:color w:val="000000"/>
          <w:sz w:val="32"/>
          <w:szCs w:val="32"/>
        </w:rPr>
        <w:t>（二）绩效评价原则、评价指标体系（附表说明）、评价方法、评价标准等。</w:t>
      </w:r>
    </w:p>
    <w:p w14:paraId="12F4A55E">
      <w:p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绩效评价原则：一是科学规范原则。绩效评价注重财政支出的经济性、效率性和有效性，严格执行规定的程序，采用定量与定性分析相结合的方法。二是公正公开原则。坚持客观公正，标准统一、资料可靠，依法公开并接受监督。三是绩效相关原则。绩效评价针对具体支出及其产出绩效进行，评价结果应清晰反映支出与产出绩效之间的紧密对应关系。</w:t>
      </w:r>
    </w:p>
    <w:p w14:paraId="4B8D8BD4">
      <w:p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评价指标体系（附表说明）、评价标准：坚持统一领导、科学规范、公开公正、绩效关联的原则，按照比较法、公众评判法等方法进行绩效评价。参考《项目支出绩效评分表》和《项目支出绩效评价指标体系框架》，按指标及评价标准打分。</w:t>
      </w:r>
    </w:p>
    <w:p w14:paraId="7BC4828A">
      <w:p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3、评价方法：主要是单位自评。</w:t>
      </w:r>
    </w:p>
    <w:p w14:paraId="7E0A1AC7">
      <w:pPr>
        <w:numPr>
          <w:ilvl w:val="0"/>
          <w:numId w:val="1"/>
        </w:numPr>
        <w:spacing w:line="600" w:lineRule="exact"/>
        <w:ind w:left="0" w:leftChars="0"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绩效评价工作过程。</w:t>
      </w:r>
    </w:p>
    <w:p w14:paraId="7A875C71">
      <w:p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前期准备：由我局班子成员、综合股等相关股室负责人参加的2023年项目绩效评价工作会议，明确了绩效评价工作的具体事项及各自责任和任务。</w:t>
      </w:r>
    </w:p>
    <w:p w14:paraId="36ECF6D6">
      <w:pPr>
        <w:numPr>
          <w:ilvl w:val="0"/>
          <w:numId w:val="2"/>
        </w:numPr>
        <w:spacing w:line="600" w:lineRule="exact"/>
        <w:ind w:firstLine="640" w:firstLineChars="200"/>
        <w:outlineLvl w:val="0"/>
        <w:rPr>
          <w:rFonts w:hint="eastAsia" w:ascii="楷体_GB2312" w:eastAsia="楷体_GB2312"/>
          <w:b/>
          <w:color w:val="000000"/>
          <w:sz w:val="28"/>
          <w:szCs w:val="28"/>
        </w:rPr>
      </w:pPr>
      <w:r>
        <w:rPr>
          <w:rFonts w:hint="eastAsia" w:ascii="仿宋_GB2312" w:hAnsi="仿宋_GB2312" w:eastAsia="仿宋_GB2312" w:cs="仿宋_GB2312"/>
          <w:b w:val="0"/>
          <w:bCs/>
          <w:color w:val="000000"/>
          <w:sz w:val="32"/>
          <w:szCs w:val="32"/>
          <w:lang w:val="en-US" w:eastAsia="zh-CN"/>
        </w:rPr>
        <w:t>分析评价：通过相关政策文件、基础数据、资金使用效益等多种信息进行分析评价，撰写2023年度财政支出项目绩效自评报告。</w:t>
      </w:r>
      <w:r>
        <w:rPr>
          <w:rFonts w:hint="eastAsia" w:ascii="楷体_GB2312" w:eastAsia="楷体_GB2312"/>
          <w:b/>
          <w:color w:val="000000"/>
          <w:sz w:val="28"/>
          <w:szCs w:val="28"/>
        </w:rPr>
        <w:t xml:space="preserve"> </w:t>
      </w:r>
    </w:p>
    <w:p w14:paraId="78424DDC">
      <w:pPr>
        <w:numPr>
          <w:ilvl w:val="0"/>
          <w:numId w:val="3"/>
        </w:numPr>
        <w:spacing w:line="600" w:lineRule="exact"/>
        <w:ind w:firstLine="656" w:firstLineChars="200"/>
        <w:rPr>
          <w:rFonts w:hint="eastAsia" w:ascii="黑体" w:eastAsia="黑体"/>
          <w:color w:val="000000"/>
          <w:spacing w:val="4"/>
          <w:sz w:val="32"/>
          <w:szCs w:val="32"/>
        </w:rPr>
      </w:pPr>
      <w:r>
        <w:rPr>
          <w:rFonts w:hint="eastAsia" w:ascii="黑体" w:hAnsi="黑体" w:eastAsia="黑体"/>
          <w:color w:val="000000"/>
          <w:spacing w:val="4"/>
          <w:sz w:val="32"/>
          <w:szCs w:val="32"/>
        </w:rPr>
        <w:t>综合评价情况及评价结论</w:t>
      </w:r>
    </w:p>
    <w:p w14:paraId="4AFF02F0">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2023年，在我局党委的坚强领导下，认真核查项目的进展，对部门项目支出情况进行全面了解，并对年度工作职能安排进行梳理；对于资金的管理，包括资金的投入情况、预算执行情况、资产管理匹配情况以及财务管理的规范性进行评估，再对年初工作计划、预计目标及布置的重点工作任务所制定的制度及采取的有效措施进行评价；之后再对主要职能工作实施的进度和质量水平、离预定绩效目标的完成数量和质量、项目实施产生的经济社会效益以及所服务的对象满意程度等进行公正合理的评价，确保了项目按时完成和财政资金的安全使用。 其中，项目绩效评分92.13分。项目总结评价为“优”。 </w:t>
      </w:r>
    </w:p>
    <w:p w14:paraId="2236D410">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四、绩效评价指标分析</w:t>
      </w:r>
    </w:p>
    <w:p w14:paraId="4C412376">
      <w:pPr>
        <w:spacing w:line="600" w:lineRule="exact"/>
        <w:ind w:firstLine="643" w:firstLineChars="200"/>
        <w:outlineLvl w:val="0"/>
        <w:rPr>
          <w:rFonts w:hint="eastAsia" w:ascii="楷体_GB2312" w:eastAsia="楷体_GB2312"/>
          <w:b/>
          <w:color w:val="000000"/>
          <w:sz w:val="32"/>
          <w:szCs w:val="32"/>
          <w:lang w:eastAsia="zh-CN"/>
        </w:rPr>
      </w:pPr>
      <w:r>
        <w:rPr>
          <w:rFonts w:hint="eastAsia" w:ascii="楷体_GB2312" w:eastAsia="楷体_GB2312"/>
          <w:b/>
          <w:color w:val="000000"/>
          <w:sz w:val="32"/>
          <w:szCs w:val="32"/>
        </w:rPr>
        <w:t>（一）项目决策情况。</w:t>
      </w:r>
    </w:p>
    <w:p w14:paraId="58692344">
      <w:pPr>
        <w:numPr>
          <w:ilvl w:val="0"/>
          <w:numId w:val="0"/>
        </w:numPr>
        <w:spacing w:line="600" w:lineRule="exact"/>
        <w:ind w:firstLine="640" w:firstLineChars="200"/>
        <w:outlineLvl w:val="0"/>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项目决策依据符合相关文件依据。决策程序，按预算程序申报、项目符合申报条件、本年度无调整事项。绩效目标明确、目标和指标均已细化，预算编制科学，资金符合相关分配办法，资金分配合理。</w:t>
      </w:r>
    </w:p>
    <w:p w14:paraId="12583835">
      <w:pPr>
        <w:numPr>
          <w:ilvl w:val="0"/>
          <w:numId w:val="4"/>
        </w:numPr>
        <w:spacing w:line="600" w:lineRule="exact"/>
        <w:ind w:firstLine="643" w:firstLineChars="200"/>
        <w:outlineLvl w:val="0"/>
        <w:rPr>
          <w:rFonts w:hint="eastAsia" w:ascii="楷体_GB2312" w:eastAsia="楷体_GB2312"/>
          <w:b/>
          <w:color w:val="000000"/>
          <w:sz w:val="32"/>
          <w:szCs w:val="32"/>
        </w:rPr>
      </w:pPr>
      <w:r>
        <w:rPr>
          <w:rFonts w:hint="eastAsia" w:ascii="楷体_GB2312" w:eastAsia="楷体_GB2312"/>
          <w:b/>
          <w:color w:val="000000"/>
          <w:sz w:val="32"/>
          <w:szCs w:val="32"/>
        </w:rPr>
        <w:t>项目过程情况。</w:t>
      </w:r>
    </w:p>
    <w:p w14:paraId="4BAAFD6B">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1、资金到位、执行情况：实际到位资金1815.85万元，财政扶持资金1815.85万元，占实际项目资金100%。该资金已使用1476.93万元。</w:t>
      </w:r>
    </w:p>
    <w:p w14:paraId="001F6CCD">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2、资金管理情况：为加强项目资金的财务管理工作，项目管理小组严格按照相关规定要求，对批准的预算建设内容，做好账务设置和账务管理。在资金使用过程中，严把监督审核关，</w:t>
      </w:r>
      <w:r>
        <w:rPr>
          <w:rFonts w:hint="eastAsia" w:ascii="仿宋_GB2312" w:hAnsi="仿宋_GB2312" w:eastAsia="仿宋_GB2312" w:cs="仿宋_GB2312"/>
          <w:b w:val="0"/>
          <w:bCs/>
          <w:color w:val="000000"/>
          <w:sz w:val="32"/>
          <w:szCs w:val="32"/>
          <w:highlight w:val="none"/>
          <w:lang w:val="en-US" w:eastAsia="zh-CN"/>
        </w:rPr>
        <w:t>建立</w:t>
      </w:r>
      <w:r>
        <w:rPr>
          <w:rFonts w:hint="eastAsia" w:ascii="仿宋_GB2312" w:hAnsi="仿宋_GB2312" w:eastAsia="仿宋_GB2312" w:cs="仿宋_GB2312"/>
          <w:b w:val="0"/>
          <w:bCs/>
          <w:color w:val="000000"/>
          <w:sz w:val="32"/>
          <w:szCs w:val="32"/>
          <w:lang w:val="en-US" w:eastAsia="zh-CN"/>
        </w:rPr>
        <w:t>健全内部审批。</w:t>
      </w:r>
    </w:p>
    <w:p w14:paraId="0C7FEB2F">
      <w:pPr>
        <w:numPr>
          <w:ilvl w:val="0"/>
          <w:numId w:val="0"/>
        </w:numPr>
        <w:spacing w:line="600" w:lineRule="exact"/>
        <w:ind w:firstLine="640" w:firstLineChars="200"/>
        <w:outlineLvl w:val="0"/>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是专项资金预算管理。补助下级支出专项资金预算根据上级要求及2023年收支决算情况进行编制，经局里开会决议后，再会同财政局根据资金预算情况安排预算支出，由区财政分管负责人审核后开始执行。二是专项资金制度管理。专项资金按区财政局的要求进行管理；三是专项资金监督管理。为确保专款专用，按照上级要求专项资金由综合股负责会计核算。由综合股经审会负责资金监督。为加强项目资金的使用管理，实施项目过程中所有项目资金的使用都严格遵循上述制度。</w:t>
      </w:r>
    </w:p>
    <w:p w14:paraId="11D4B708">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3、组织实施情况：（1）项目组织情况分析。由综合股负责统筹运维，及时对接相关单位成员，</w:t>
      </w:r>
      <w:r>
        <w:rPr>
          <w:rFonts w:hint="eastAsia" w:ascii="仿宋_GB2312" w:hAnsi="仿宋_GB2312" w:eastAsia="仿宋_GB2312" w:cs="仿宋_GB2312"/>
          <w:b w:val="0"/>
          <w:bCs/>
          <w:color w:val="000000"/>
          <w:sz w:val="32"/>
          <w:szCs w:val="32"/>
          <w:highlight w:val="none"/>
          <w:lang w:val="en-US" w:eastAsia="zh-CN"/>
        </w:rPr>
        <w:t>更好地提供</w:t>
      </w:r>
      <w:r>
        <w:rPr>
          <w:rFonts w:hint="eastAsia" w:ascii="仿宋_GB2312" w:hAnsi="仿宋_GB2312" w:eastAsia="仿宋_GB2312" w:cs="仿宋_GB2312"/>
          <w:b w:val="0"/>
          <w:bCs/>
          <w:color w:val="000000"/>
          <w:sz w:val="32"/>
          <w:szCs w:val="32"/>
          <w:lang w:val="en-US" w:eastAsia="zh-CN"/>
        </w:rPr>
        <w:t>灾害信息业务；（2）项目管理情况分析。一是明确项目实施范围。实施范围主要是包含行政支出。二是加强了项目监督管理。设立了项目使用监督小组，安排了工作人员负责监督工作，对资金使用进行跟踪监督和指导服务。三是加强对项目资金的管理，做到了民主决策、民主管理、民主监督，确保项目的使用绩效</w:t>
      </w:r>
      <w:r>
        <w:rPr>
          <w:rFonts w:hint="eastAsia" w:ascii="仿宋_GB2312" w:hAnsi="仿宋_GB2312" w:eastAsia="仿宋_GB2312" w:cs="仿宋_GB2312"/>
          <w:b w:val="0"/>
          <w:bCs/>
          <w:color w:val="000000"/>
          <w:sz w:val="32"/>
          <w:szCs w:val="32"/>
          <w:highlight w:val="none"/>
          <w:lang w:val="en-US" w:eastAsia="zh-CN"/>
        </w:rPr>
        <w:t>。</w:t>
      </w:r>
    </w:p>
    <w:p w14:paraId="3C642E2B">
      <w:pPr>
        <w:spacing w:line="600" w:lineRule="exact"/>
        <w:ind w:firstLine="643" w:firstLineChars="200"/>
        <w:outlineLvl w:val="0"/>
        <w:rPr>
          <w:rFonts w:hint="eastAsia" w:ascii="楷体_GB2312" w:eastAsia="楷体_GB2312"/>
          <w:b/>
          <w:color w:val="000000"/>
          <w:sz w:val="32"/>
          <w:szCs w:val="32"/>
          <w:lang w:eastAsia="zh-CN"/>
        </w:rPr>
      </w:pPr>
      <w:r>
        <w:rPr>
          <w:rFonts w:hint="eastAsia" w:ascii="楷体_GB2312" w:eastAsia="楷体_GB2312"/>
          <w:b/>
          <w:color w:val="000000"/>
          <w:sz w:val="32"/>
          <w:szCs w:val="32"/>
        </w:rPr>
        <w:t>（三）项目产出情况。</w:t>
      </w:r>
    </w:p>
    <w:p w14:paraId="09CFAB98">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根据项目的实际情况，项目产出指标设立了数量指标和时效指标，实际工作上，项目资金方面严格按照预算安排的资金来使用和管理。</w:t>
      </w:r>
    </w:p>
    <w:p w14:paraId="1CE685B1">
      <w:pPr>
        <w:spacing w:line="600" w:lineRule="exact"/>
        <w:ind w:firstLine="643" w:firstLineChars="200"/>
        <w:outlineLvl w:val="0"/>
        <w:rPr>
          <w:rFonts w:hint="eastAsia" w:ascii="楷体_GB2312" w:eastAsia="楷体_GB2312"/>
          <w:b/>
          <w:color w:val="000000"/>
          <w:sz w:val="32"/>
          <w:szCs w:val="32"/>
          <w:lang w:eastAsia="zh-CN"/>
        </w:rPr>
      </w:pPr>
      <w:r>
        <w:rPr>
          <w:rFonts w:hint="eastAsia" w:ascii="楷体_GB2312" w:eastAsia="楷体_GB2312"/>
          <w:b/>
          <w:color w:val="000000"/>
          <w:sz w:val="32"/>
          <w:szCs w:val="32"/>
        </w:rPr>
        <w:t>（四）项目效益情况。</w:t>
      </w:r>
    </w:p>
    <w:p w14:paraId="23C41705">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从整个项目运作的情况来分析，由于我区资金筹措有限，项目的效益主要是以社会效益为主，经济效益为辅。通过努力，2023年我局加强组织建设提供有力保障，产生了很好社会效果。核查项目的进展，对部门项目支出情况进行全面了解，并对年度工作职能安排进行梳理；对于资金的管理，包括资金的投入情况、预算执行情况、资产管理匹配情况以及财务管理的规范性进行评估，再对年初工作计划、预计目标及布置的重点工作任务所制定的制度及采取的有效措施进行评价；之后再对主要职能工作实施的进度和质量水平、离预定绩效目标的完成数量和质量、项目实施产生的经济社会效益以及所服务的对象满意程度等进行公正合理的评价，确保了项目按时完成和财政资金的安全使用。</w:t>
      </w:r>
    </w:p>
    <w:p w14:paraId="6BC214D0">
      <w:pPr>
        <w:numPr>
          <w:ilvl w:val="0"/>
          <w:numId w:val="0"/>
        </w:numPr>
        <w:spacing w:line="600" w:lineRule="exact"/>
        <w:ind w:firstLine="640" w:firstLineChars="200"/>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通过现场回访，人员满意度98%。</w:t>
      </w:r>
    </w:p>
    <w:p w14:paraId="4645C890">
      <w:pPr>
        <w:numPr>
          <w:ilvl w:val="0"/>
          <w:numId w:val="0"/>
        </w:numPr>
        <w:spacing w:line="600" w:lineRule="exact"/>
        <w:ind w:firstLine="640" w:firstLineChars="200"/>
        <w:outlineLvl w:val="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项目绩效评价总分</w:t>
      </w:r>
      <w:r>
        <w:rPr>
          <w:rFonts w:hint="eastAsia" w:ascii="仿宋_GB2312" w:hAnsi="仿宋_GB2312" w:eastAsia="仿宋_GB2312" w:cs="仿宋_GB2312"/>
          <w:b w:val="0"/>
          <w:bCs/>
          <w:color w:val="000000"/>
          <w:sz w:val="32"/>
          <w:szCs w:val="32"/>
          <w:lang w:val="en-US" w:eastAsia="zh-CN"/>
        </w:rPr>
        <w:t>92.13</w:t>
      </w:r>
      <w:r>
        <w:rPr>
          <w:rFonts w:hint="default" w:ascii="仿宋_GB2312" w:hAnsi="仿宋_GB2312" w:eastAsia="仿宋_GB2312" w:cs="仿宋_GB2312"/>
          <w:b w:val="0"/>
          <w:bCs/>
          <w:color w:val="000000"/>
          <w:sz w:val="32"/>
          <w:szCs w:val="32"/>
          <w:lang w:val="en-US" w:eastAsia="zh-CN"/>
        </w:rPr>
        <w:t>分。</w:t>
      </w:r>
    </w:p>
    <w:p w14:paraId="16A8061E">
      <w:pPr>
        <w:pStyle w:val="3"/>
        <w:spacing w:line="520" w:lineRule="exact"/>
        <w:ind w:firstLine="640" w:firstLineChars="200"/>
        <w:jc w:val="both"/>
        <w:rPr>
          <w:rFonts w:hint="default"/>
          <w:lang w:val="en-US" w:eastAsia="zh-CN"/>
        </w:rPr>
      </w:pPr>
      <w:r>
        <w:rPr>
          <w:rFonts w:hint="eastAsia" w:ascii="黑体" w:hAnsi="黑体" w:eastAsia="黑体" w:cs="黑体"/>
          <w:color w:val="000000" w:themeColor="text1"/>
          <w:lang w:val="en-US"/>
          <w14:textFill>
            <w14:solidFill>
              <w14:schemeClr w14:val="tx1"/>
            </w14:solidFill>
          </w14:textFill>
        </w:rPr>
        <w:t>五、主要经验及做法、存在的问题及原因分析</w:t>
      </w:r>
    </w:p>
    <w:p w14:paraId="56F903D9">
      <w:pPr>
        <w:keepNext w:val="0"/>
        <w:keepLines w:val="0"/>
        <w:pageBreakBefore w:val="0"/>
        <w:widowControl w:val="0"/>
        <w:kinsoku/>
        <w:wordWrap/>
        <w:overflowPunct/>
        <w:topLinePunct w:val="0"/>
        <w:autoSpaceDE/>
        <w:autoSpaceDN/>
        <w:bidi w:val="0"/>
        <w:spacing w:line="520" w:lineRule="exact"/>
        <w:ind w:righ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一是个别领域安全风险仍然较高。</w:t>
      </w:r>
      <w:r>
        <w:rPr>
          <w:rFonts w:hint="eastAsia" w:ascii="仿宋_GB2312" w:hAnsi="仿宋_GB2312" w:eastAsia="仿宋_GB2312" w:cs="仿宋_GB2312"/>
          <w:b w:val="0"/>
          <w:bCs w:val="0"/>
          <w:sz w:val="32"/>
          <w:szCs w:val="32"/>
          <w:lang w:val="en-US" w:eastAsia="zh-CN"/>
        </w:rPr>
        <w:t>道路交通、消防、燃气等领域安全风险持续处于高位运行状态，尤其工业企业、老旧小区等消防安全问题突出。</w:t>
      </w:r>
    </w:p>
    <w:p w14:paraId="7534F00B">
      <w:pPr>
        <w:keepNext w:val="0"/>
        <w:keepLines w:val="0"/>
        <w:pageBreakBefore w:val="0"/>
        <w:widowControl w:val="0"/>
        <w:kinsoku/>
        <w:wordWrap/>
        <w:overflowPunct/>
        <w:topLinePunct w:val="0"/>
        <w:autoSpaceDE/>
        <w:autoSpaceDN/>
        <w:bidi w:val="0"/>
        <w:spacing w:line="520" w:lineRule="exact"/>
        <w:ind w:right="0" w:firstLine="643" w:firstLineChars="200"/>
        <w:textAlignment w:val="auto"/>
        <w:rPr>
          <w:rFonts w:hint="eastAsia" w:ascii="仿宋_GB2312" w:eastAsia="仿宋_GB2312" w:cs="Times New Roman"/>
          <w:sz w:val="32"/>
          <w:szCs w:val="32"/>
          <w:lang w:val="en-US" w:eastAsia="zh-CN"/>
        </w:rPr>
      </w:pPr>
      <w:r>
        <w:rPr>
          <w:rFonts w:hint="eastAsia" w:ascii="楷体" w:hAnsi="楷体" w:eastAsia="楷体" w:cs="楷体"/>
          <w:b/>
          <w:bCs/>
          <w:sz w:val="32"/>
          <w:szCs w:val="32"/>
          <w:lang w:val="en-US" w:eastAsia="zh-CN"/>
        </w:rPr>
        <w:t>二是行业安全监管责任存在空缺。</w:t>
      </w:r>
      <w:r>
        <w:rPr>
          <w:rFonts w:hint="eastAsia" w:ascii="仿宋_GB2312" w:eastAsia="仿宋_GB2312" w:cs="Times New Roman"/>
          <w:sz w:val="32"/>
          <w:szCs w:val="32"/>
          <w:lang w:val="en-US" w:eastAsia="zh-CN"/>
        </w:rPr>
        <w:t>在住建、消防等行业领域，对市级直接监管的大型企业、重点项目无法落实属地监管责任成为普遍现象。例如我区大部分建筑工地都是由市住建局</w:t>
      </w:r>
      <w:r>
        <w:rPr>
          <w:rFonts w:hint="eastAsia" w:ascii="仿宋_GB2312" w:eastAsia="仿宋_GB2312" w:cs="Times New Roman"/>
          <w:sz w:val="32"/>
          <w:szCs w:val="32"/>
          <w:highlight w:val="none"/>
          <w:lang w:val="en-US" w:eastAsia="zh-CN"/>
        </w:rPr>
        <w:t>监管</w:t>
      </w:r>
      <w:r>
        <w:rPr>
          <w:rFonts w:hint="eastAsia" w:ascii="仿宋_GB2312" w:eastAsia="仿宋_GB2312" w:cs="Times New Roman"/>
          <w:sz w:val="32"/>
          <w:szCs w:val="32"/>
          <w:lang w:val="en-US" w:eastAsia="zh-CN"/>
        </w:rPr>
        <w:t>事务中心直接监管，区住建局没有监管权，但是发生安全事故后，属地又常常被作为责任单位被上级通报问责。</w:t>
      </w:r>
    </w:p>
    <w:p w14:paraId="7C121C06">
      <w:pPr>
        <w:keepNext w:val="0"/>
        <w:keepLines w:val="0"/>
        <w:pageBreakBefore w:val="0"/>
        <w:widowControl w:val="0"/>
        <w:kinsoku/>
        <w:wordWrap/>
        <w:overflowPunct/>
        <w:topLinePunct w:val="0"/>
        <w:autoSpaceDE/>
        <w:autoSpaceDN/>
        <w:bidi w:val="0"/>
        <w:spacing w:line="520" w:lineRule="exact"/>
        <w:ind w:right="0" w:firstLine="643" w:firstLineChars="200"/>
        <w:textAlignment w:val="auto"/>
        <w:rPr>
          <w:rFonts w:hint="eastAsia" w:ascii="仿宋_GB2312" w:eastAsia="仿宋_GB2312" w:cs="Times New Roman"/>
          <w:sz w:val="32"/>
          <w:szCs w:val="32"/>
          <w:lang w:val="en-US" w:eastAsia="zh-CN"/>
        </w:rPr>
      </w:pPr>
      <w:r>
        <w:rPr>
          <w:rFonts w:hint="eastAsia" w:ascii="楷体" w:hAnsi="楷体" w:eastAsia="楷体" w:cs="楷体"/>
          <w:b/>
          <w:bCs/>
          <w:sz w:val="32"/>
          <w:szCs w:val="32"/>
          <w:lang w:val="en-US" w:eastAsia="zh-CN"/>
        </w:rPr>
        <w:t>三是企业本质安全水平仍然不高。</w:t>
      </w:r>
      <w:r>
        <w:rPr>
          <w:rFonts w:hint="eastAsia" w:ascii="仿宋_GB2312" w:hAnsi="仿宋_GB2312" w:eastAsia="仿宋_GB2312" w:cs="仿宋_GB2312"/>
          <w:b w:val="0"/>
          <w:bCs w:val="0"/>
          <w:sz w:val="32"/>
          <w:szCs w:val="32"/>
          <w:lang w:val="en-US" w:eastAsia="zh-CN"/>
        </w:rPr>
        <w:t>企业主体责任没有真正压紧压实，自主管理水平低，本质安全水平不高，</w:t>
      </w:r>
      <w:r>
        <w:rPr>
          <w:rFonts w:hint="eastAsia" w:ascii="仿宋_GB2312" w:eastAsia="仿宋_GB2312" w:cs="Times New Roman"/>
          <w:sz w:val="32"/>
          <w:szCs w:val="32"/>
          <w:lang w:val="en-US" w:eastAsia="zh-CN"/>
        </w:rPr>
        <w:t>有些企业负责人重视质量、重视进度，却不重视安全，企业负责人安全生产意识淡薄，隐患排查自查力度不够，安全教育培训不到位，安全经费投入不足，“全员安全生产责任制”亟待加强，人人参与安全、人人重视安全的意识亟待加强。</w:t>
      </w:r>
    </w:p>
    <w:p w14:paraId="0B38DFC2">
      <w:pPr>
        <w:keepNext w:val="0"/>
        <w:keepLines w:val="0"/>
        <w:pageBreakBefore w:val="0"/>
        <w:widowControl w:val="0"/>
        <w:kinsoku/>
        <w:wordWrap/>
        <w:overflowPunct/>
        <w:topLinePunct w:val="0"/>
        <w:autoSpaceDE/>
        <w:autoSpaceDN/>
        <w:bidi w:val="0"/>
        <w:spacing w:line="520" w:lineRule="exact"/>
        <w:ind w:right="0" w:firstLine="643" w:firstLineChars="200"/>
        <w:textAlignment w:val="auto"/>
        <w:rPr>
          <w:rFonts w:hint="eastAsia" w:ascii="黑体" w:hAnsi="黑体" w:eastAsia="黑体" w:cs="黑体"/>
          <w:color w:val="auto"/>
          <w:spacing w:val="0"/>
          <w:sz w:val="32"/>
          <w:szCs w:val="32"/>
          <w:lang w:val="en-US" w:eastAsia="zh-CN"/>
        </w:rPr>
      </w:pPr>
      <w:r>
        <w:rPr>
          <w:rFonts w:hint="eastAsia" w:ascii="楷体" w:hAnsi="楷体" w:eastAsia="楷体" w:cs="楷体"/>
          <w:b/>
          <w:bCs/>
          <w:sz w:val="32"/>
          <w:szCs w:val="32"/>
          <w:lang w:val="en-US" w:eastAsia="zh-CN"/>
        </w:rPr>
        <w:t>四是安全生产基层基础有待加强。</w:t>
      </w:r>
      <w:r>
        <w:rPr>
          <w:rFonts w:hint="eastAsia" w:ascii="仿宋_GB2312" w:eastAsia="仿宋_GB2312" w:cs="Times New Roman"/>
          <w:sz w:val="32"/>
          <w:szCs w:val="32"/>
          <w:lang w:val="en-US" w:eastAsia="zh-CN"/>
        </w:rPr>
        <w:t>部门监管力量不足、执法力度不够，特别是乡镇街办安全监管人员力量较弱，</w:t>
      </w:r>
      <w:r>
        <w:rPr>
          <w:rFonts w:hint="eastAsia" w:ascii="仿宋_GB2312" w:eastAsia="仿宋_GB2312"/>
          <w:sz w:val="32"/>
          <w:szCs w:val="32"/>
          <w:lang w:val="en-US" w:eastAsia="zh-CN"/>
        </w:rPr>
        <w:t>持证执法人员更是严重缺乏，导致工作推进较为缓慢，不利于工作的深入开展</w:t>
      </w:r>
      <w:r>
        <w:rPr>
          <w:rFonts w:hint="eastAsia" w:ascii="仿宋_GB2312" w:eastAsia="仿宋_GB2312" w:cs="Times New Roman"/>
          <w:sz w:val="32"/>
          <w:szCs w:val="32"/>
          <w:lang w:val="en-US" w:eastAsia="zh-CN"/>
        </w:rPr>
        <w:t>，加之基层网格人员发现排查安全隐患能力不足。基层应急救援队伍与上级标准要求仍有差距，缺乏防汛专业人才和专业队伍，专职人员少，人员流动性大。</w:t>
      </w:r>
    </w:p>
    <w:p w14:paraId="53B327A8">
      <w:pPr>
        <w:pStyle w:val="3"/>
        <w:spacing w:line="520" w:lineRule="exact"/>
        <w:ind w:firstLine="640" w:firstLineChars="200"/>
        <w:jc w:val="both"/>
        <w:rPr>
          <w:rFonts w:hint="eastAsia" w:ascii="黑体" w:hAnsi="黑体" w:eastAsia="黑体"/>
          <w:color w:val="000000" w:themeColor="text1"/>
          <w:lang w:val="en-US"/>
          <w14:textFill>
            <w14:solidFill>
              <w14:schemeClr w14:val="tx1"/>
            </w14:solidFill>
          </w14:textFill>
        </w:rPr>
      </w:pPr>
    </w:p>
    <w:p w14:paraId="45B8B681">
      <w:pPr>
        <w:pStyle w:val="3"/>
        <w:spacing w:line="520" w:lineRule="exact"/>
        <w:ind w:firstLine="640" w:firstLineChars="200"/>
        <w:jc w:val="both"/>
        <w:rPr>
          <w:rFonts w:hint="eastAsia"/>
          <w:lang w:val="en-US" w:eastAsia="zh-CN"/>
        </w:rPr>
      </w:pPr>
      <w:r>
        <w:rPr>
          <w:rFonts w:hint="eastAsia" w:ascii="黑体" w:hAnsi="黑体" w:eastAsia="黑体"/>
          <w:color w:val="000000" w:themeColor="text1"/>
          <w:lang w:val="en-US"/>
          <w14:textFill>
            <w14:solidFill>
              <w14:schemeClr w14:val="tx1"/>
            </w14:solidFill>
          </w14:textFill>
        </w:rPr>
        <w:t>六、有关建议</w:t>
      </w:r>
    </w:p>
    <w:p w14:paraId="6C085AAA">
      <w:pPr>
        <w:keepNext w:val="0"/>
        <w:keepLines w:val="0"/>
        <w:pageBreakBefore w:val="0"/>
        <w:overflowPunct/>
        <w:topLinePunct w:val="0"/>
        <w:bidi w:val="0"/>
        <w:spacing w:line="520" w:lineRule="exact"/>
        <w:ind w:right="0" w:firstLine="643" w:firstLineChars="200"/>
        <w:rPr>
          <w:rFonts w:ascii="仿宋" w:hAnsi="仿宋" w:eastAsia="仿宋" w:cs="仿宋_GB2312"/>
          <w:sz w:val="32"/>
          <w:szCs w:val="32"/>
        </w:rPr>
      </w:pPr>
      <w:r>
        <w:rPr>
          <w:rFonts w:hint="eastAsia" w:ascii="仿宋" w:hAnsi="仿宋" w:eastAsia="仿宋" w:cs="仿宋_GB2312"/>
          <w:b/>
          <w:bCs/>
          <w:sz w:val="32"/>
          <w:szCs w:val="32"/>
        </w:rPr>
        <w:t>1.着力夯实基层基础。</w:t>
      </w:r>
      <w:r>
        <w:rPr>
          <w:rFonts w:hint="eastAsia" w:ascii="仿宋_GB2312" w:eastAsia="仿宋_GB2312" w:cs="Times New Roman"/>
          <w:sz w:val="32"/>
          <w:szCs w:val="32"/>
          <w:lang w:val="en-US" w:eastAsia="zh-CN"/>
        </w:rPr>
        <w:t>持续推进基层应急管理体系和能力标准化建设，全面完成乡镇、街道标准化建设达标。配齐配强应急管理所人员、辅助执法人员，建立村（社区）应急管理队伍。进一步完善乡镇、街道安委会、自然灾害防治委员会等综合协调机构的职能，明确应急管理所统抓总管、各科室分工协同的职责体系，进一步划分村（社区）应急网格，构建区、乡镇（街道）、村（社区）三级应急联动体系，借助灾害信息员、防汛责任人、应急管理员等将应急管理各项工作落实落地。</w:t>
      </w:r>
    </w:p>
    <w:p w14:paraId="10857294">
      <w:pPr>
        <w:keepNext w:val="0"/>
        <w:keepLines w:val="0"/>
        <w:pageBreakBefore w:val="0"/>
        <w:overflowPunct/>
        <w:topLinePunct w:val="0"/>
        <w:bidi w:val="0"/>
        <w:spacing w:line="520" w:lineRule="exact"/>
        <w:ind w:right="0" w:firstLine="643" w:firstLineChars="200"/>
        <w:rPr>
          <w:rFonts w:hint="eastAsia" w:ascii="仿宋_GB2312" w:eastAsia="仿宋_GB2312" w:cs="Times New Roman"/>
          <w:sz w:val="32"/>
          <w:szCs w:val="32"/>
          <w:lang w:val="en-US" w:eastAsia="zh-CN"/>
        </w:rPr>
      </w:pPr>
      <w:r>
        <w:rPr>
          <w:rFonts w:hint="eastAsia" w:ascii="仿宋" w:hAnsi="仿宋" w:eastAsia="仿宋" w:cs="仿宋_GB2312"/>
          <w:b/>
          <w:bCs/>
          <w:sz w:val="32"/>
          <w:szCs w:val="32"/>
        </w:rPr>
        <w:t>2.着力锻造硬核队伍。</w:t>
      </w:r>
      <w:r>
        <w:rPr>
          <w:rFonts w:hint="eastAsia" w:ascii="仿宋_GB2312" w:eastAsia="仿宋_GB2312" w:cs="Times New Roman"/>
          <w:sz w:val="32"/>
          <w:szCs w:val="32"/>
          <w:lang w:val="en-US" w:eastAsia="zh-CN"/>
        </w:rPr>
        <w:t>针对应急管理高负荷、高压力、高风险特点，坚持以习近平总书记重要训词精神铸根塑魂，坚持重实干重实绩、有为有位、无为是位的鲜明用人导向，注重在重大斗争第一线、急难险重最前沿、安全防控主战场培养锻炼干部，努力锻造想担大任、敢担大任、能担大任的应急管理“硬核”队伍。排摸全区应急管理专业人才，组织应急系统干部开展业务集中轮训，逐步锻造一支年轻化、专业化、常态化应急管理干部队伍，让主动发现问题、研究问题、解决问题成为应急管理干部的鲜明标识。</w:t>
      </w:r>
    </w:p>
    <w:p w14:paraId="07CE86AB">
      <w:pPr>
        <w:pStyle w:val="2"/>
        <w:keepNext w:val="0"/>
        <w:keepLines w:val="0"/>
        <w:pageBreakBefore w:val="0"/>
        <w:overflowPunct/>
        <w:topLinePunct w:val="0"/>
        <w:bidi w:val="0"/>
        <w:spacing w:after="0" w:line="520" w:lineRule="exact"/>
        <w:ind w:right="0" w:firstLine="643"/>
        <w:rPr>
          <w:rFonts w:hint="eastAsia" w:ascii="仿宋_GB2312" w:hAnsi="Times New Roman" w:eastAsia="仿宋_GB2312" w:cs="Times New Roman"/>
          <w:kern w:val="2"/>
          <w:sz w:val="32"/>
          <w:szCs w:val="32"/>
          <w:lang w:val="en-US" w:eastAsia="zh-CN" w:bidi="ar-SA"/>
        </w:rPr>
      </w:pPr>
      <w:r>
        <w:rPr>
          <w:rFonts w:hint="eastAsia" w:ascii="仿宋" w:hAnsi="仿宋" w:eastAsia="仿宋" w:cs="仿宋_GB2312"/>
          <w:b/>
          <w:bCs/>
          <w:sz w:val="32"/>
          <w:szCs w:val="32"/>
        </w:rPr>
        <w:t>3.持续保持执法高压态势。</w:t>
      </w:r>
      <w:r>
        <w:rPr>
          <w:rFonts w:hint="eastAsia" w:ascii="仿宋_GB2312" w:hAnsi="Times New Roman" w:eastAsia="仿宋_GB2312" w:cs="Times New Roman"/>
          <w:kern w:val="2"/>
          <w:sz w:val="32"/>
          <w:szCs w:val="32"/>
          <w:lang w:val="en-US" w:eastAsia="zh-CN" w:bidi="ar-SA"/>
        </w:rPr>
        <w:t>针对隐患就在那里始终不做有效整改，或者问题就在那里始终不做有效监管的情形，区安委办坚决拿起斗争的武器，行使好追责问责建议权。对企业“一次检查，二次整改，三次处罚”。对于那些表面整改、数字整改、虚假整改等其他违法违规行为坚决依法依规严厉处罚到位。紧盯建筑施工、消防等重点行业领域，加大隐患排查治理和执法监管力度，对各类违法违规行依法依规进行查处，推动建立健全公共安全隐患排查和安全预防和控制体系。</w:t>
      </w:r>
    </w:p>
    <w:p w14:paraId="1367EB0F">
      <w:pPr>
        <w:pStyle w:val="2"/>
        <w:keepNext w:val="0"/>
        <w:keepLines w:val="0"/>
        <w:pageBreakBefore w:val="0"/>
        <w:overflowPunct/>
        <w:topLinePunct w:val="0"/>
        <w:bidi w:val="0"/>
        <w:spacing w:after="0" w:line="520" w:lineRule="exact"/>
        <w:ind w:right="0" w:firstLine="643"/>
        <w:rPr>
          <w:rFonts w:hint="eastAsia" w:ascii="仿宋_GB2312" w:hAnsi="Times New Roman" w:eastAsia="仿宋_GB2312" w:cs="Times New Roman"/>
          <w:kern w:val="2"/>
          <w:sz w:val="32"/>
          <w:szCs w:val="32"/>
          <w:lang w:val="en-US" w:eastAsia="zh-CN" w:bidi="ar-SA"/>
        </w:rPr>
      </w:pPr>
    </w:p>
    <w:p w14:paraId="5C42CF0D">
      <w:pPr>
        <w:pStyle w:val="2"/>
        <w:keepNext w:val="0"/>
        <w:keepLines w:val="0"/>
        <w:pageBreakBefore w:val="0"/>
        <w:overflowPunct/>
        <w:topLinePunct w:val="0"/>
        <w:bidi w:val="0"/>
        <w:spacing w:after="0" w:line="520" w:lineRule="exact"/>
        <w:ind w:right="0" w:firstLine="643"/>
        <w:rPr>
          <w:rFonts w:hint="eastAsia" w:ascii="仿宋_GB2312" w:hAnsi="Times New Roman" w:eastAsia="仿宋_GB2312" w:cs="Times New Roman"/>
          <w:kern w:val="2"/>
          <w:sz w:val="32"/>
          <w:szCs w:val="32"/>
          <w:lang w:val="en-US" w:eastAsia="zh-CN" w:bidi="ar-SA"/>
        </w:rPr>
      </w:pPr>
    </w:p>
    <w:p w14:paraId="3C67023F">
      <w:pPr>
        <w:pStyle w:val="8"/>
        <w:keepNext w:val="0"/>
        <w:keepLines w:val="0"/>
        <w:pageBreakBefore w:val="0"/>
        <w:widowControl/>
        <w:suppressLineNumbers w:val="0"/>
        <w:pBdr>
          <w:top w:val="none" w:color="auto" w:sz="0" w:space="0"/>
          <w:left w:val="none" w:color="auto" w:sz="0" w:space="0"/>
          <w:bottom w:val="single" w:color="FFFFFF" w:sz="6" w:space="27"/>
          <w:right w:val="none" w:color="auto" w:sz="0" w:space="0"/>
        </w:pBdr>
        <w:shd w:val="clear" w:fill="FFFFFF"/>
        <w:kinsoku/>
        <w:wordWrap/>
        <w:overflowPunct/>
        <w:topLinePunct w:val="0"/>
        <w:autoSpaceDE/>
        <w:autoSpaceDN/>
        <w:bidi w:val="0"/>
        <w:spacing w:before="0" w:beforeAutospacing="0" w:after="0" w:afterAutospacing="0" w:line="560" w:lineRule="exact"/>
        <w:ind w:right="0"/>
        <w:jc w:val="left"/>
        <w:textAlignment w:val="baseline"/>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附件2-2：</w:t>
      </w:r>
    </w:p>
    <w:p w14:paraId="2D5AB948">
      <w:pPr>
        <w:pStyle w:val="5"/>
        <w:spacing w:before="39"/>
      </w:pPr>
      <w:r>
        <w:t>项目支出绩效评分表</w:t>
      </w:r>
    </w:p>
    <w:p w14:paraId="7CA0E9BF">
      <w:pPr>
        <w:pStyle w:val="3"/>
        <w:rPr>
          <w:lang w:val="en-US"/>
        </w:rPr>
      </w:pPr>
    </w:p>
    <w:tbl>
      <w:tblPr>
        <w:tblStyle w:val="9"/>
        <w:tblW w:w="10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1"/>
        <w:gridCol w:w="1361"/>
        <w:gridCol w:w="596"/>
        <w:gridCol w:w="1963"/>
        <w:gridCol w:w="803"/>
        <w:gridCol w:w="3883"/>
        <w:gridCol w:w="675"/>
      </w:tblGrid>
      <w:tr w14:paraId="4797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41" w:type="dxa"/>
          </w:tcPr>
          <w:p w14:paraId="1191AA48">
            <w:pPr>
              <w:pStyle w:val="12"/>
              <w:spacing w:before="20"/>
              <w:ind w:left="359"/>
              <w:rPr>
                <w:rFonts w:ascii="黑体" w:eastAsia="黑体"/>
                <w:sz w:val="21"/>
              </w:rPr>
            </w:pPr>
            <w:r>
              <w:rPr>
                <w:rFonts w:hint="eastAsia" w:ascii="黑体" w:eastAsia="黑体"/>
                <w:spacing w:val="-1"/>
                <w:w w:val="95"/>
                <w:sz w:val="21"/>
              </w:rPr>
              <w:t>一级</w:t>
            </w:r>
          </w:p>
          <w:p w14:paraId="669A9F3E">
            <w:pPr>
              <w:pStyle w:val="12"/>
              <w:spacing w:before="43"/>
              <w:ind w:left="359"/>
              <w:rPr>
                <w:rFonts w:ascii="黑体" w:eastAsia="黑体"/>
                <w:sz w:val="21"/>
              </w:rPr>
            </w:pPr>
            <w:r>
              <w:rPr>
                <w:rFonts w:hint="eastAsia" w:ascii="黑体" w:eastAsia="黑体"/>
                <w:spacing w:val="-1"/>
                <w:w w:val="95"/>
                <w:sz w:val="21"/>
              </w:rPr>
              <w:t>指标</w:t>
            </w:r>
          </w:p>
        </w:tc>
        <w:tc>
          <w:tcPr>
            <w:tcW w:w="1361" w:type="dxa"/>
          </w:tcPr>
          <w:p w14:paraId="2D420407">
            <w:pPr>
              <w:pStyle w:val="12"/>
              <w:spacing w:before="176"/>
              <w:ind w:left="259"/>
              <w:rPr>
                <w:rFonts w:ascii="黑体" w:eastAsia="黑体"/>
                <w:sz w:val="21"/>
              </w:rPr>
            </w:pPr>
            <w:r>
              <w:rPr>
                <w:rFonts w:hint="eastAsia" w:ascii="黑体" w:eastAsia="黑体"/>
                <w:sz w:val="21"/>
              </w:rPr>
              <w:t>二级指标</w:t>
            </w:r>
          </w:p>
        </w:tc>
        <w:tc>
          <w:tcPr>
            <w:tcW w:w="596" w:type="dxa"/>
          </w:tcPr>
          <w:p w14:paraId="6B4ED27C">
            <w:pPr>
              <w:pStyle w:val="12"/>
              <w:spacing w:before="20"/>
              <w:ind w:left="192"/>
              <w:jc w:val="center"/>
              <w:rPr>
                <w:rFonts w:ascii="黑体" w:eastAsia="黑体"/>
                <w:sz w:val="21"/>
              </w:rPr>
            </w:pPr>
            <w:r>
              <w:rPr>
                <w:rFonts w:hint="eastAsia" w:ascii="黑体" w:eastAsia="黑体"/>
                <w:w w:val="99"/>
                <w:sz w:val="21"/>
              </w:rPr>
              <w:t>分</w:t>
            </w:r>
          </w:p>
          <w:p w14:paraId="2C0DDB4C">
            <w:pPr>
              <w:pStyle w:val="12"/>
              <w:spacing w:before="43"/>
              <w:ind w:left="192"/>
              <w:jc w:val="center"/>
              <w:rPr>
                <w:rFonts w:ascii="黑体" w:eastAsia="黑体"/>
                <w:sz w:val="21"/>
              </w:rPr>
            </w:pPr>
            <w:r>
              <w:rPr>
                <w:rFonts w:hint="eastAsia" w:ascii="黑体" w:eastAsia="黑体"/>
                <w:w w:val="99"/>
                <w:sz w:val="21"/>
              </w:rPr>
              <w:t>值</w:t>
            </w:r>
          </w:p>
        </w:tc>
        <w:tc>
          <w:tcPr>
            <w:tcW w:w="1963" w:type="dxa"/>
          </w:tcPr>
          <w:p w14:paraId="2A7D2BE6">
            <w:pPr>
              <w:pStyle w:val="12"/>
              <w:spacing w:before="176"/>
              <w:ind w:left="224" w:right="217"/>
              <w:jc w:val="center"/>
              <w:rPr>
                <w:rFonts w:ascii="黑体" w:eastAsia="黑体"/>
                <w:sz w:val="21"/>
              </w:rPr>
            </w:pPr>
            <w:r>
              <w:rPr>
                <w:rFonts w:hint="eastAsia" w:ascii="黑体" w:eastAsia="黑体"/>
                <w:sz w:val="21"/>
              </w:rPr>
              <w:t>三级指标</w:t>
            </w:r>
          </w:p>
        </w:tc>
        <w:tc>
          <w:tcPr>
            <w:tcW w:w="803" w:type="dxa"/>
          </w:tcPr>
          <w:p w14:paraId="7DB2C06C">
            <w:pPr>
              <w:pStyle w:val="12"/>
              <w:spacing w:before="176"/>
              <w:ind w:left="141"/>
              <w:rPr>
                <w:rFonts w:ascii="黑体" w:eastAsia="黑体"/>
                <w:sz w:val="21"/>
              </w:rPr>
            </w:pPr>
            <w:r>
              <w:rPr>
                <w:rFonts w:hint="eastAsia" w:ascii="黑体" w:eastAsia="黑体"/>
                <w:sz w:val="21"/>
              </w:rPr>
              <w:t>分值</w:t>
            </w:r>
          </w:p>
        </w:tc>
        <w:tc>
          <w:tcPr>
            <w:tcW w:w="3883" w:type="dxa"/>
          </w:tcPr>
          <w:p w14:paraId="3C29D518">
            <w:pPr>
              <w:pStyle w:val="12"/>
              <w:spacing w:before="176"/>
              <w:ind w:left="1548" w:right="1542"/>
              <w:jc w:val="center"/>
              <w:rPr>
                <w:rFonts w:ascii="黑体" w:eastAsia="黑体"/>
                <w:sz w:val="21"/>
              </w:rPr>
            </w:pPr>
            <w:r>
              <w:rPr>
                <w:rFonts w:hint="eastAsia" w:ascii="黑体" w:eastAsia="黑体"/>
                <w:sz w:val="21"/>
              </w:rPr>
              <w:t>评分标准</w:t>
            </w:r>
          </w:p>
        </w:tc>
        <w:tc>
          <w:tcPr>
            <w:tcW w:w="675" w:type="dxa"/>
          </w:tcPr>
          <w:p w14:paraId="10290B15">
            <w:pPr>
              <w:pStyle w:val="12"/>
              <w:spacing w:before="20"/>
              <w:ind w:left="125"/>
              <w:rPr>
                <w:rFonts w:ascii="黑体" w:eastAsia="黑体"/>
                <w:sz w:val="21"/>
              </w:rPr>
            </w:pPr>
            <w:r>
              <w:rPr>
                <w:rFonts w:hint="eastAsia" w:ascii="黑体" w:eastAsia="黑体"/>
                <w:spacing w:val="-1"/>
                <w:w w:val="95"/>
                <w:sz w:val="21"/>
              </w:rPr>
              <w:t>评价</w:t>
            </w:r>
          </w:p>
          <w:p w14:paraId="34DB1A1A">
            <w:pPr>
              <w:pStyle w:val="12"/>
              <w:spacing w:before="43"/>
              <w:ind w:left="125"/>
              <w:rPr>
                <w:rFonts w:ascii="黑体" w:eastAsia="黑体"/>
                <w:sz w:val="21"/>
              </w:rPr>
            </w:pPr>
            <w:r>
              <w:rPr>
                <w:rFonts w:hint="eastAsia" w:ascii="黑体" w:eastAsia="黑体"/>
                <w:spacing w:val="-1"/>
                <w:w w:val="95"/>
                <w:sz w:val="21"/>
              </w:rPr>
              <w:t>得分</w:t>
            </w:r>
          </w:p>
        </w:tc>
      </w:tr>
      <w:tr w14:paraId="608F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41" w:type="dxa"/>
            <w:vMerge w:val="restart"/>
          </w:tcPr>
          <w:p w14:paraId="5DD0432E">
            <w:pPr>
              <w:pStyle w:val="12"/>
              <w:rPr>
                <w:sz w:val="20"/>
              </w:rPr>
            </w:pPr>
          </w:p>
          <w:p w14:paraId="4D88A065">
            <w:pPr>
              <w:pStyle w:val="12"/>
              <w:rPr>
                <w:sz w:val="20"/>
              </w:rPr>
            </w:pPr>
          </w:p>
          <w:p w14:paraId="08D3AB53">
            <w:pPr>
              <w:pStyle w:val="12"/>
              <w:rPr>
                <w:sz w:val="20"/>
              </w:rPr>
            </w:pPr>
          </w:p>
          <w:p w14:paraId="4C20FAAF">
            <w:pPr>
              <w:pStyle w:val="12"/>
              <w:spacing w:before="172"/>
              <w:ind w:left="74" w:right="69"/>
              <w:jc w:val="center"/>
              <w:rPr>
                <w:rFonts w:ascii="黑体" w:eastAsia="黑体"/>
                <w:sz w:val="21"/>
              </w:rPr>
            </w:pPr>
            <w:r>
              <w:rPr>
                <w:rFonts w:hint="eastAsia" w:ascii="黑体" w:eastAsia="黑体"/>
                <w:sz w:val="21"/>
              </w:rPr>
              <w:t>决策</w:t>
            </w:r>
          </w:p>
          <w:p w14:paraId="611C1549">
            <w:pPr>
              <w:pStyle w:val="12"/>
              <w:spacing w:before="6"/>
              <w:rPr>
                <w:sz w:val="16"/>
              </w:rPr>
            </w:pPr>
          </w:p>
          <w:p w14:paraId="6E36061F">
            <w:pPr>
              <w:pStyle w:val="12"/>
              <w:ind w:left="77" w:right="69"/>
              <w:jc w:val="center"/>
              <w:rPr>
                <w:rFonts w:ascii="黑体" w:eastAsia="黑体"/>
                <w:sz w:val="21"/>
              </w:rPr>
            </w:pPr>
            <w:r>
              <w:rPr>
                <w:rFonts w:hint="eastAsia" w:ascii="黑体" w:eastAsia="黑体"/>
                <w:sz w:val="21"/>
              </w:rPr>
              <w:t>（</w:t>
            </w:r>
            <w:r>
              <w:rPr>
                <w:rFonts w:hint="eastAsia" w:ascii="黑体" w:eastAsia="黑体"/>
                <w:sz w:val="21"/>
                <w:lang w:val="en-US" w:eastAsia="zh-CN"/>
              </w:rPr>
              <w:t>30</w:t>
            </w:r>
            <w:r>
              <w:rPr>
                <w:rFonts w:hint="eastAsia" w:ascii="黑体" w:eastAsia="黑体"/>
                <w:sz w:val="21"/>
              </w:rPr>
              <w:t xml:space="preserve"> 分）</w:t>
            </w:r>
          </w:p>
        </w:tc>
        <w:tc>
          <w:tcPr>
            <w:tcW w:w="1361" w:type="dxa"/>
            <w:vMerge w:val="restart"/>
          </w:tcPr>
          <w:p w14:paraId="3CA7836A">
            <w:pPr>
              <w:pStyle w:val="12"/>
              <w:spacing w:before="11"/>
            </w:pPr>
          </w:p>
          <w:p w14:paraId="4E9BE3CC">
            <w:pPr>
              <w:pStyle w:val="12"/>
              <w:ind w:left="259"/>
              <w:rPr>
                <w:rFonts w:ascii="黑体" w:eastAsia="黑体"/>
                <w:sz w:val="21"/>
              </w:rPr>
            </w:pPr>
            <w:r>
              <w:rPr>
                <w:rFonts w:hint="eastAsia" w:ascii="黑体" w:eastAsia="黑体"/>
                <w:sz w:val="21"/>
              </w:rPr>
              <w:t>项目立项</w:t>
            </w:r>
          </w:p>
        </w:tc>
        <w:tc>
          <w:tcPr>
            <w:tcW w:w="596" w:type="dxa"/>
            <w:vMerge w:val="restart"/>
          </w:tcPr>
          <w:p w14:paraId="0A9DF3D9">
            <w:pPr>
              <w:pStyle w:val="12"/>
              <w:jc w:val="center"/>
              <w:rPr>
                <w:rFonts w:hint="default" w:ascii="Times New Roman" w:eastAsia="宋体"/>
                <w:sz w:val="20"/>
                <w:lang w:val="en-US" w:eastAsia="zh-CN"/>
              </w:rPr>
            </w:pPr>
            <w:r>
              <w:rPr>
                <w:rFonts w:hint="eastAsia"/>
                <w:sz w:val="20"/>
                <w:lang w:val="en-US" w:eastAsia="zh-CN"/>
              </w:rPr>
              <w:t>10</w:t>
            </w:r>
          </w:p>
        </w:tc>
        <w:tc>
          <w:tcPr>
            <w:tcW w:w="1963" w:type="dxa"/>
          </w:tcPr>
          <w:p w14:paraId="3B07FB07">
            <w:pPr>
              <w:pStyle w:val="12"/>
              <w:spacing w:before="87"/>
              <w:ind w:left="224" w:right="219"/>
              <w:jc w:val="center"/>
              <w:rPr>
                <w:rFonts w:ascii="黑体" w:eastAsia="黑体"/>
                <w:sz w:val="21"/>
              </w:rPr>
            </w:pPr>
            <w:r>
              <w:rPr>
                <w:rFonts w:hint="eastAsia" w:ascii="黑体" w:eastAsia="黑体"/>
                <w:sz w:val="21"/>
              </w:rPr>
              <w:t>立项依据充分性</w:t>
            </w:r>
          </w:p>
        </w:tc>
        <w:tc>
          <w:tcPr>
            <w:tcW w:w="803" w:type="dxa"/>
            <w:vAlign w:val="center"/>
          </w:tcPr>
          <w:p w14:paraId="11CB16E4">
            <w:pPr>
              <w:widowControl/>
              <w:jc w:val="center"/>
              <w:rPr>
                <w:rFonts w:hint="eastAsia" w:eastAsia="宋体"/>
                <w:sz w:val="20"/>
                <w:szCs w:val="20"/>
                <w:lang w:eastAsia="zh-CN"/>
              </w:rPr>
            </w:pPr>
            <w:r>
              <w:rPr>
                <w:rFonts w:hint="eastAsia"/>
                <w:sz w:val="20"/>
                <w:szCs w:val="20"/>
                <w:lang w:val="en-US" w:eastAsia="zh-CN"/>
              </w:rPr>
              <w:t>5</w:t>
            </w:r>
          </w:p>
        </w:tc>
        <w:tc>
          <w:tcPr>
            <w:tcW w:w="3883" w:type="dxa"/>
            <w:vAlign w:val="center"/>
          </w:tcPr>
          <w:p w14:paraId="2F5A51D4">
            <w:pPr>
              <w:widowControl/>
              <w:rPr>
                <w:sz w:val="20"/>
                <w:szCs w:val="20"/>
              </w:rPr>
            </w:pPr>
            <w:r>
              <w:rPr>
                <w:rFonts w:hint="eastAsia"/>
                <w:sz w:val="20"/>
                <w:szCs w:val="20"/>
              </w:rPr>
              <w:t>1、项目立项符合国家法律法规、国民经济发展规划和相关政策；                                                                                                    2、项目立项符合行业发展规划和政策要求；                                              3、项目与相关部门同类项目或部门内部相关项目未重复。</w:t>
            </w:r>
          </w:p>
        </w:tc>
        <w:tc>
          <w:tcPr>
            <w:tcW w:w="675" w:type="dxa"/>
            <w:vAlign w:val="center"/>
          </w:tcPr>
          <w:p w14:paraId="1147E55B">
            <w:pPr>
              <w:pStyle w:val="12"/>
              <w:jc w:val="center"/>
              <w:rPr>
                <w:rFonts w:hint="eastAsia" w:ascii="Times New Roman" w:eastAsia="宋体"/>
                <w:sz w:val="20"/>
                <w:lang w:val="en-US" w:eastAsia="zh-CN"/>
              </w:rPr>
            </w:pPr>
            <w:r>
              <w:rPr>
                <w:rFonts w:hint="eastAsia"/>
                <w:sz w:val="20"/>
                <w:lang w:val="en-US" w:eastAsia="zh-CN"/>
              </w:rPr>
              <w:t>5</w:t>
            </w:r>
          </w:p>
        </w:tc>
      </w:tr>
      <w:tr w14:paraId="04D0E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141" w:type="dxa"/>
            <w:vMerge w:val="continue"/>
            <w:tcBorders>
              <w:top w:val="nil"/>
            </w:tcBorders>
          </w:tcPr>
          <w:p w14:paraId="65924960">
            <w:pPr>
              <w:rPr>
                <w:sz w:val="2"/>
                <w:szCs w:val="2"/>
              </w:rPr>
            </w:pPr>
          </w:p>
        </w:tc>
        <w:tc>
          <w:tcPr>
            <w:tcW w:w="1361" w:type="dxa"/>
            <w:vMerge w:val="continue"/>
            <w:tcBorders>
              <w:top w:val="nil"/>
            </w:tcBorders>
          </w:tcPr>
          <w:p w14:paraId="74CA2494">
            <w:pPr>
              <w:rPr>
                <w:sz w:val="2"/>
                <w:szCs w:val="2"/>
              </w:rPr>
            </w:pPr>
          </w:p>
        </w:tc>
        <w:tc>
          <w:tcPr>
            <w:tcW w:w="596" w:type="dxa"/>
            <w:vMerge w:val="continue"/>
            <w:tcBorders>
              <w:top w:val="nil"/>
            </w:tcBorders>
          </w:tcPr>
          <w:p w14:paraId="31008FCA">
            <w:pPr>
              <w:jc w:val="center"/>
              <w:rPr>
                <w:sz w:val="2"/>
                <w:szCs w:val="2"/>
              </w:rPr>
            </w:pPr>
          </w:p>
        </w:tc>
        <w:tc>
          <w:tcPr>
            <w:tcW w:w="1963" w:type="dxa"/>
          </w:tcPr>
          <w:p w14:paraId="0CBF23BC">
            <w:pPr>
              <w:pStyle w:val="12"/>
              <w:spacing w:before="64"/>
              <w:ind w:left="224" w:right="219"/>
              <w:jc w:val="center"/>
              <w:rPr>
                <w:rFonts w:ascii="黑体" w:eastAsia="黑体"/>
                <w:sz w:val="21"/>
              </w:rPr>
            </w:pPr>
            <w:r>
              <w:rPr>
                <w:rFonts w:hint="eastAsia" w:ascii="黑体" w:eastAsia="黑体"/>
                <w:sz w:val="21"/>
              </w:rPr>
              <w:t>立项程序规范性</w:t>
            </w:r>
          </w:p>
        </w:tc>
        <w:tc>
          <w:tcPr>
            <w:tcW w:w="803" w:type="dxa"/>
            <w:vAlign w:val="center"/>
          </w:tcPr>
          <w:p w14:paraId="379595B8">
            <w:pPr>
              <w:widowControl/>
              <w:jc w:val="center"/>
              <w:rPr>
                <w:rFonts w:hint="eastAsia" w:eastAsia="宋体"/>
                <w:sz w:val="20"/>
                <w:szCs w:val="20"/>
                <w:lang w:eastAsia="zh-CN"/>
              </w:rPr>
            </w:pPr>
            <w:r>
              <w:rPr>
                <w:rFonts w:hint="eastAsia"/>
                <w:sz w:val="20"/>
                <w:szCs w:val="20"/>
                <w:lang w:val="en-US" w:eastAsia="zh-CN"/>
              </w:rPr>
              <w:t>5</w:t>
            </w:r>
          </w:p>
        </w:tc>
        <w:tc>
          <w:tcPr>
            <w:tcW w:w="3883" w:type="dxa"/>
            <w:vAlign w:val="center"/>
          </w:tcPr>
          <w:p w14:paraId="60E5EE11">
            <w:pPr>
              <w:widowControl/>
              <w:rPr>
                <w:sz w:val="20"/>
                <w:szCs w:val="20"/>
              </w:rPr>
            </w:pPr>
            <w:r>
              <w:rPr>
                <w:rFonts w:hint="eastAsia"/>
                <w:sz w:val="20"/>
                <w:szCs w:val="20"/>
              </w:rPr>
              <w:t>1、项目按照规定的程序设立；                                                           2、所提交的文件、材料符合相关要求；                                                       3、符合国家有关法律法规和文件规定。</w:t>
            </w:r>
          </w:p>
        </w:tc>
        <w:tc>
          <w:tcPr>
            <w:tcW w:w="675" w:type="dxa"/>
            <w:vAlign w:val="center"/>
          </w:tcPr>
          <w:p w14:paraId="4BC9893D">
            <w:pPr>
              <w:pStyle w:val="12"/>
              <w:jc w:val="center"/>
              <w:rPr>
                <w:rFonts w:hint="eastAsia" w:ascii="Times New Roman" w:eastAsia="宋体"/>
                <w:sz w:val="20"/>
                <w:lang w:val="en-US" w:eastAsia="zh-CN"/>
              </w:rPr>
            </w:pPr>
            <w:r>
              <w:rPr>
                <w:rFonts w:hint="eastAsia"/>
                <w:sz w:val="20"/>
                <w:lang w:val="en-US" w:eastAsia="zh-CN"/>
              </w:rPr>
              <w:t>5</w:t>
            </w:r>
          </w:p>
        </w:tc>
      </w:tr>
      <w:tr w14:paraId="1314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41" w:type="dxa"/>
            <w:vMerge w:val="continue"/>
            <w:tcBorders>
              <w:top w:val="nil"/>
            </w:tcBorders>
          </w:tcPr>
          <w:p w14:paraId="2DA7422A">
            <w:pPr>
              <w:rPr>
                <w:sz w:val="2"/>
                <w:szCs w:val="2"/>
              </w:rPr>
            </w:pPr>
          </w:p>
        </w:tc>
        <w:tc>
          <w:tcPr>
            <w:tcW w:w="1361" w:type="dxa"/>
            <w:vMerge w:val="restart"/>
          </w:tcPr>
          <w:p w14:paraId="49F110BE">
            <w:pPr>
              <w:pStyle w:val="12"/>
              <w:rPr>
                <w:sz w:val="24"/>
              </w:rPr>
            </w:pPr>
          </w:p>
          <w:p w14:paraId="6461F6CC">
            <w:pPr>
              <w:pStyle w:val="12"/>
              <w:ind w:left="259"/>
              <w:rPr>
                <w:rFonts w:ascii="黑体" w:eastAsia="黑体"/>
                <w:sz w:val="21"/>
              </w:rPr>
            </w:pPr>
            <w:r>
              <w:rPr>
                <w:rFonts w:hint="eastAsia" w:ascii="黑体" w:eastAsia="黑体"/>
                <w:sz w:val="21"/>
              </w:rPr>
              <w:t>绩效目标</w:t>
            </w:r>
          </w:p>
        </w:tc>
        <w:tc>
          <w:tcPr>
            <w:tcW w:w="596" w:type="dxa"/>
            <w:vMerge w:val="restart"/>
          </w:tcPr>
          <w:p w14:paraId="171C7E49">
            <w:pPr>
              <w:pStyle w:val="12"/>
              <w:jc w:val="center"/>
              <w:rPr>
                <w:rFonts w:hint="default" w:ascii="Times New Roman" w:eastAsia="宋体"/>
                <w:sz w:val="20"/>
                <w:lang w:val="en-US" w:eastAsia="zh-CN"/>
              </w:rPr>
            </w:pPr>
            <w:r>
              <w:rPr>
                <w:rFonts w:hint="eastAsia"/>
                <w:sz w:val="20"/>
                <w:lang w:val="en-US" w:eastAsia="zh-CN"/>
              </w:rPr>
              <w:t>10</w:t>
            </w:r>
          </w:p>
        </w:tc>
        <w:tc>
          <w:tcPr>
            <w:tcW w:w="1963" w:type="dxa"/>
          </w:tcPr>
          <w:p w14:paraId="7A463767">
            <w:pPr>
              <w:pStyle w:val="12"/>
              <w:spacing w:before="63"/>
              <w:ind w:left="224" w:right="219"/>
              <w:jc w:val="center"/>
              <w:rPr>
                <w:rFonts w:ascii="黑体" w:eastAsia="黑体"/>
                <w:sz w:val="21"/>
              </w:rPr>
            </w:pPr>
            <w:r>
              <w:rPr>
                <w:rFonts w:hint="eastAsia" w:ascii="黑体" w:eastAsia="黑体"/>
                <w:sz w:val="21"/>
              </w:rPr>
              <w:t>绩效目标合理性</w:t>
            </w:r>
          </w:p>
        </w:tc>
        <w:tc>
          <w:tcPr>
            <w:tcW w:w="803" w:type="dxa"/>
            <w:vAlign w:val="center"/>
          </w:tcPr>
          <w:p w14:paraId="66511C29">
            <w:pPr>
              <w:widowControl/>
              <w:jc w:val="center"/>
              <w:rPr>
                <w:rFonts w:hint="eastAsia" w:eastAsia="宋体"/>
                <w:sz w:val="20"/>
                <w:szCs w:val="20"/>
                <w:lang w:eastAsia="zh-CN"/>
              </w:rPr>
            </w:pPr>
            <w:r>
              <w:rPr>
                <w:rFonts w:hint="eastAsia"/>
                <w:sz w:val="20"/>
                <w:szCs w:val="20"/>
                <w:lang w:val="en-US" w:eastAsia="zh-CN"/>
              </w:rPr>
              <w:t>5</w:t>
            </w:r>
          </w:p>
        </w:tc>
        <w:tc>
          <w:tcPr>
            <w:tcW w:w="3883" w:type="dxa"/>
            <w:vAlign w:val="center"/>
          </w:tcPr>
          <w:p w14:paraId="4A567254">
            <w:pPr>
              <w:widowControl/>
              <w:rPr>
                <w:sz w:val="20"/>
                <w:szCs w:val="20"/>
              </w:rPr>
            </w:pPr>
            <w:r>
              <w:rPr>
                <w:rFonts w:hint="eastAsia"/>
                <w:sz w:val="20"/>
                <w:szCs w:val="20"/>
              </w:rPr>
              <w:t>1、项目有绩效目标；                                                                                                            2、项目绩效目标与实际工作内容具有相关性；                                                                       3、项目预期产出效益和效果符合正常的业绩；                                                                                             4、与预算确定的项目投资额或资金量相匹配。</w:t>
            </w:r>
          </w:p>
        </w:tc>
        <w:tc>
          <w:tcPr>
            <w:tcW w:w="675" w:type="dxa"/>
            <w:vAlign w:val="center"/>
          </w:tcPr>
          <w:p w14:paraId="6D44F679">
            <w:pPr>
              <w:pStyle w:val="12"/>
              <w:jc w:val="center"/>
              <w:rPr>
                <w:rFonts w:hint="eastAsia" w:ascii="Times New Roman" w:eastAsia="宋体"/>
                <w:sz w:val="20"/>
                <w:lang w:val="en-US" w:eastAsia="zh-CN"/>
              </w:rPr>
            </w:pPr>
            <w:r>
              <w:rPr>
                <w:rFonts w:hint="eastAsia"/>
                <w:sz w:val="20"/>
                <w:lang w:val="en-US" w:eastAsia="zh-CN"/>
              </w:rPr>
              <w:t>5</w:t>
            </w:r>
          </w:p>
        </w:tc>
      </w:tr>
      <w:tr w14:paraId="37A5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41" w:type="dxa"/>
            <w:vMerge w:val="continue"/>
            <w:tcBorders>
              <w:top w:val="nil"/>
            </w:tcBorders>
          </w:tcPr>
          <w:p w14:paraId="3B8BA3C5">
            <w:pPr>
              <w:rPr>
                <w:sz w:val="2"/>
                <w:szCs w:val="2"/>
              </w:rPr>
            </w:pPr>
          </w:p>
        </w:tc>
        <w:tc>
          <w:tcPr>
            <w:tcW w:w="1361" w:type="dxa"/>
            <w:vMerge w:val="continue"/>
            <w:tcBorders>
              <w:top w:val="nil"/>
            </w:tcBorders>
          </w:tcPr>
          <w:p w14:paraId="61E80E73">
            <w:pPr>
              <w:rPr>
                <w:sz w:val="2"/>
                <w:szCs w:val="2"/>
              </w:rPr>
            </w:pPr>
          </w:p>
        </w:tc>
        <w:tc>
          <w:tcPr>
            <w:tcW w:w="596" w:type="dxa"/>
            <w:vMerge w:val="continue"/>
            <w:tcBorders>
              <w:top w:val="nil"/>
            </w:tcBorders>
          </w:tcPr>
          <w:p w14:paraId="0825EB42">
            <w:pPr>
              <w:jc w:val="center"/>
              <w:rPr>
                <w:sz w:val="2"/>
                <w:szCs w:val="2"/>
              </w:rPr>
            </w:pPr>
          </w:p>
        </w:tc>
        <w:tc>
          <w:tcPr>
            <w:tcW w:w="1963" w:type="dxa"/>
          </w:tcPr>
          <w:p w14:paraId="4F2AF030">
            <w:pPr>
              <w:pStyle w:val="12"/>
              <w:spacing w:before="103"/>
              <w:ind w:left="224" w:right="219"/>
              <w:jc w:val="center"/>
              <w:rPr>
                <w:rFonts w:ascii="黑体" w:eastAsia="黑体"/>
                <w:sz w:val="21"/>
              </w:rPr>
            </w:pPr>
            <w:r>
              <w:rPr>
                <w:rFonts w:hint="eastAsia" w:ascii="黑体" w:eastAsia="黑体"/>
                <w:sz w:val="21"/>
              </w:rPr>
              <w:t>绩效指标明确性</w:t>
            </w:r>
          </w:p>
        </w:tc>
        <w:tc>
          <w:tcPr>
            <w:tcW w:w="803" w:type="dxa"/>
            <w:vAlign w:val="center"/>
          </w:tcPr>
          <w:p w14:paraId="41180B1F">
            <w:pPr>
              <w:widowControl/>
              <w:jc w:val="center"/>
              <w:rPr>
                <w:rFonts w:hint="eastAsia" w:eastAsia="宋体"/>
                <w:sz w:val="20"/>
                <w:szCs w:val="20"/>
                <w:lang w:eastAsia="zh-CN"/>
              </w:rPr>
            </w:pPr>
            <w:r>
              <w:rPr>
                <w:rFonts w:hint="eastAsia"/>
                <w:sz w:val="20"/>
                <w:szCs w:val="20"/>
                <w:lang w:val="en-US" w:eastAsia="zh-CN"/>
              </w:rPr>
              <w:t>5</w:t>
            </w:r>
          </w:p>
        </w:tc>
        <w:tc>
          <w:tcPr>
            <w:tcW w:w="3883" w:type="dxa"/>
            <w:vAlign w:val="center"/>
          </w:tcPr>
          <w:p w14:paraId="3913466D">
            <w:pPr>
              <w:widowControl/>
              <w:rPr>
                <w:sz w:val="20"/>
                <w:szCs w:val="20"/>
              </w:rPr>
            </w:pPr>
            <w:r>
              <w:rPr>
                <w:rFonts w:hint="eastAsia"/>
                <w:sz w:val="20"/>
                <w:szCs w:val="20"/>
              </w:rPr>
              <w:t>1、将项目绩效目标细化分解为具体的绩效指；                                                                                                        2、通过清晰、可衡量的指标值予以体现；                                                                    3、与项目目标任务数或计划数相对应。</w:t>
            </w:r>
          </w:p>
        </w:tc>
        <w:tc>
          <w:tcPr>
            <w:tcW w:w="675" w:type="dxa"/>
            <w:vAlign w:val="center"/>
          </w:tcPr>
          <w:p w14:paraId="4138FCD6">
            <w:pPr>
              <w:pStyle w:val="12"/>
              <w:jc w:val="center"/>
              <w:rPr>
                <w:rFonts w:hint="eastAsia" w:ascii="Times New Roman" w:eastAsia="宋体"/>
                <w:sz w:val="20"/>
                <w:lang w:val="en-US" w:eastAsia="zh-CN"/>
              </w:rPr>
            </w:pPr>
            <w:r>
              <w:rPr>
                <w:rFonts w:hint="eastAsia"/>
                <w:sz w:val="20"/>
                <w:lang w:val="en-US" w:eastAsia="zh-CN"/>
              </w:rPr>
              <w:t>5</w:t>
            </w:r>
          </w:p>
        </w:tc>
      </w:tr>
      <w:tr w14:paraId="7EAD8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141" w:type="dxa"/>
            <w:vMerge w:val="continue"/>
            <w:tcBorders>
              <w:top w:val="nil"/>
            </w:tcBorders>
          </w:tcPr>
          <w:p w14:paraId="30A3A375">
            <w:pPr>
              <w:rPr>
                <w:sz w:val="2"/>
                <w:szCs w:val="2"/>
              </w:rPr>
            </w:pPr>
          </w:p>
        </w:tc>
        <w:tc>
          <w:tcPr>
            <w:tcW w:w="1361" w:type="dxa"/>
            <w:vMerge w:val="restart"/>
          </w:tcPr>
          <w:p w14:paraId="322EC706">
            <w:pPr>
              <w:pStyle w:val="12"/>
              <w:spacing w:before="10"/>
            </w:pPr>
          </w:p>
          <w:p w14:paraId="6DE2503D">
            <w:pPr>
              <w:pStyle w:val="12"/>
              <w:ind w:left="259"/>
              <w:rPr>
                <w:rFonts w:ascii="黑体" w:eastAsia="黑体"/>
                <w:sz w:val="21"/>
              </w:rPr>
            </w:pPr>
            <w:r>
              <w:rPr>
                <w:rFonts w:hint="eastAsia" w:ascii="黑体" w:eastAsia="黑体"/>
                <w:sz w:val="21"/>
              </w:rPr>
              <w:t>资金投入</w:t>
            </w:r>
          </w:p>
        </w:tc>
        <w:tc>
          <w:tcPr>
            <w:tcW w:w="596" w:type="dxa"/>
            <w:vMerge w:val="restart"/>
          </w:tcPr>
          <w:p w14:paraId="649736D1">
            <w:pPr>
              <w:pStyle w:val="12"/>
              <w:jc w:val="center"/>
              <w:rPr>
                <w:rFonts w:hint="default" w:ascii="Times New Roman" w:eastAsia="宋体"/>
                <w:sz w:val="20"/>
                <w:lang w:val="en-US" w:eastAsia="zh-CN"/>
              </w:rPr>
            </w:pPr>
            <w:r>
              <w:rPr>
                <w:rFonts w:hint="eastAsia"/>
                <w:sz w:val="20"/>
                <w:lang w:val="en-US" w:eastAsia="zh-CN"/>
              </w:rPr>
              <w:t>10</w:t>
            </w:r>
          </w:p>
        </w:tc>
        <w:tc>
          <w:tcPr>
            <w:tcW w:w="1963" w:type="dxa"/>
          </w:tcPr>
          <w:p w14:paraId="334FDE99">
            <w:pPr>
              <w:pStyle w:val="12"/>
              <w:spacing w:before="86"/>
              <w:ind w:left="224" w:right="219"/>
              <w:jc w:val="center"/>
              <w:rPr>
                <w:rFonts w:ascii="黑体" w:eastAsia="黑体"/>
                <w:sz w:val="21"/>
              </w:rPr>
            </w:pPr>
            <w:r>
              <w:rPr>
                <w:rFonts w:hint="eastAsia" w:ascii="黑体" w:eastAsia="黑体"/>
                <w:sz w:val="21"/>
              </w:rPr>
              <w:t>预算编制科学性</w:t>
            </w:r>
          </w:p>
        </w:tc>
        <w:tc>
          <w:tcPr>
            <w:tcW w:w="803" w:type="dxa"/>
            <w:vAlign w:val="center"/>
          </w:tcPr>
          <w:p w14:paraId="1544B6D3">
            <w:pPr>
              <w:widowControl/>
              <w:jc w:val="center"/>
              <w:rPr>
                <w:rFonts w:hint="default" w:eastAsia="宋体"/>
                <w:sz w:val="20"/>
                <w:szCs w:val="20"/>
                <w:lang w:val="en-US" w:eastAsia="zh-CN"/>
              </w:rPr>
            </w:pPr>
            <w:r>
              <w:rPr>
                <w:rFonts w:hint="eastAsia"/>
                <w:sz w:val="20"/>
                <w:szCs w:val="20"/>
                <w:lang w:val="en-US" w:eastAsia="zh-CN"/>
              </w:rPr>
              <w:t>5</w:t>
            </w:r>
          </w:p>
        </w:tc>
        <w:tc>
          <w:tcPr>
            <w:tcW w:w="3883" w:type="dxa"/>
            <w:vAlign w:val="center"/>
          </w:tcPr>
          <w:p w14:paraId="5E801F33">
            <w:pPr>
              <w:widowControl/>
              <w:rPr>
                <w:sz w:val="20"/>
                <w:szCs w:val="20"/>
              </w:rPr>
            </w:pPr>
            <w:r>
              <w:rPr>
                <w:rFonts w:hint="eastAsia"/>
                <w:sz w:val="20"/>
                <w:szCs w:val="20"/>
              </w:rPr>
              <w:t>1、预算编制经过科学认证，预算额度</w:t>
            </w:r>
            <w:r>
              <w:rPr>
                <w:rFonts w:hint="eastAsia"/>
                <w:sz w:val="20"/>
                <w:szCs w:val="20"/>
                <w:lang w:eastAsia="zh-CN"/>
              </w:rPr>
              <w:t>测算依据</w:t>
            </w:r>
            <w:r>
              <w:rPr>
                <w:rFonts w:hint="eastAsia"/>
                <w:sz w:val="20"/>
                <w:szCs w:val="20"/>
              </w:rPr>
              <w:t>；                                                                                    2、预算内容与项目内容匹配，并按照标准编；                                                                3、预算确定的项目投资额或资金量与工作任务相匹配。</w:t>
            </w:r>
          </w:p>
        </w:tc>
        <w:tc>
          <w:tcPr>
            <w:tcW w:w="675" w:type="dxa"/>
            <w:vAlign w:val="center"/>
          </w:tcPr>
          <w:p w14:paraId="1FB014C6">
            <w:pPr>
              <w:pStyle w:val="12"/>
              <w:jc w:val="center"/>
              <w:rPr>
                <w:rFonts w:hint="eastAsia" w:ascii="Times New Roman" w:eastAsia="宋体"/>
                <w:sz w:val="20"/>
                <w:lang w:val="en-US" w:eastAsia="zh-CN"/>
              </w:rPr>
            </w:pPr>
            <w:r>
              <w:rPr>
                <w:rFonts w:hint="eastAsia"/>
                <w:sz w:val="20"/>
                <w:lang w:val="en-US" w:eastAsia="zh-CN"/>
              </w:rPr>
              <w:t>5</w:t>
            </w:r>
          </w:p>
        </w:tc>
      </w:tr>
      <w:tr w14:paraId="3115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41" w:type="dxa"/>
            <w:vMerge w:val="continue"/>
            <w:tcBorders>
              <w:top w:val="nil"/>
            </w:tcBorders>
          </w:tcPr>
          <w:p w14:paraId="072B6300">
            <w:pPr>
              <w:rPr>
                <w:sz w:val="2"/>
                <w:szCs w:val="2"/>
              </w:rPr>
            </w:pPr>
          </w:p>
        </w:tc>
        <w:tc>
          <w:tcPr>
            <w:tcW w:w="1361" w:type="dxa"/>
            <w:vMerge w:val="continue"/>
            <w:tcBorders>
              <w:top w:val="nil"/>
            </w:tcBorders>
          </w:tcPr>
          <w:p w14:paraId="6BD8BF04">
            <w:pPr>
              <w:rPr>
                <w:sz w:val="2"/>
                <w:szCs w:val="2"/>
              </w:rPr>
            </w:pPr>
          </w:p>
        </w:tc>
        <w:tc>
          <w:tcPr>
            <w:tcW w:w="596" w:type="dxa"/>
            <w:vMerge w:val="continue"/>
            <w:tcBorders>
              <w:top w:val="nil"/>
            </w:tcBorders>
          </w:tcPr>
          <w:p w14:paraId="4E99D154">
            <w:pPr>
              <w:jc w:val="center"/>
              <w:rPr>
                <w:sz w:val="2"/>
                <w:szCs w:val="2"/>
              </w:rPr>
            </w:pPr>
          </w:p>
        </w:tc>
        <w:tc>
          <w:tcPr>
            <w:tcW w:w="1963" w:type="dxa"/>
          </w:tcPr>
          <w:p w14:paraId="530F2655">
            <w:pPr>
              <w:pStyle w:val="12"/>
              <w:spacing w:before="63"/>
              <w:ind w:left="224" w:right="219"/>
              <w:jc w:val="center"/>
              <w:rPr>
                <w:rFonts w:ascii="黑体" w:eastAsia="黑体"/>
                <w:sz w:val="21"/>
              </w:rPr>
            </w:pPr>
            <w:r>
              <w:rPr>
                <w:rFonts w:hint="eastAsia" w:ascii="黑体" w:eastAsia="黑体"/>
                <w:sz w:val="21"/>
              </w:rPr>
              <w:t>资金分配合理性</w:t>
            </w:r>
          </w:p>
        </w:tc>
        <w:tc>
          <w:tcPr>
            <w:tcW w:w="803" w:type="dxa"/>
            <w:vAlign w:val="center"/>
          </w:tcPr>
          <w:p w14:paraId="35D85A79">
            <w:pPr>
              <w:widowControl/>
              <w:jc w:val="center"/>
              <w:rPr>
                <w:rFonts w:hint="default" w:eastAsia="宋体"/>
                <w:sz w:val="20"/>
                <w:szCs w:val="20"/>
                <w:lang w:val="en-US" w:eastAsia="zh-CN"/>
              </w:rPr>
            </w:pPr>
            <w:r>
              <w:rPr>
                <w:rFonts w:hint="eastAsia"/>
                <w:sz w:val="20"/>
                <w:szCs w:val="20"/>
                <w:lang w:val="en-US" w:eastAsia="zh-CN"/>
              </w:rPr>
              <w:t>5</w:t>
            </w:r>
          </w:p>
        </w:tc>
        <w:tc>
          <w:tcPr>
            <w:tcW w:w="3883" w:type="dxa"/>
            <w:vAlign w:val="center"/>
          </w:tcPr>
          <w:p w14:paraId="4D26D2A9">
            <w:pPr>
              <w:widowControl/>
              <w:rPr>
                <w:sz w:val="20"/>
                <w:szCs w:val="20"/>
              </w:rPr>
            </w:pPr>
            <w:r>
              <w:rPr>
                <w:rFonts w:hint="eastAsia"/>
                <w:sz w:val="20"/>
                <w:szCs w:val="20"/>
              </w:rPr>
              <w:t>1、预算资金分配依据充分；                                                                                  2、资金分配额度合理，与项目单位或地方实际是否相适应。</w:t>
            </w:r>
          </w:p>
        </w:tc>
        <w:tc>
          <w:tcPr>
            <w:tcW w:w="675" w:type="dxa"/>
            <w:vAlign w:val="center"/>
          </w:tcPr>
          <w:p w14:paraId="1D60C27D">
            <w:pPr>
              <w:pStyle w:val="12"/>
              <w:jc w:val="center"/>
              <w:rPr>
                <w:rFonts w:hint="eastAsia" w:ascii="Times New Roman" w:eastAsia="宋体"/>
                <w:sz w:val="20"/>
                <w:lang w:val="en-US" w:eastAsia="zh-CN"/>
              </w:rPr>
            </w:pPr>
            <w:r>
              <w:rPr>
                <w:rFonts w:hint="eastAsia" w:ascii="Times New Roman"/>
                <w:sz w:val="20"/>
                <w:lang w:val="en-US" w:eastAsia="zh-CN"/>
              </w:rPr>
              <w:t>4</w:t>
            </w:r>
          </w:p>
        </w:tc>
      </w:tr>
      <w:tr w14:paraId="7668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141" w:type="dxa"/>
            <w:vMerge w:val="restart"/>
          </w:tcPr>
          <w:p w14:paraId="3C790EEA">
            <w:pPr>
              <w:pStyle w:val="12"/>
              <w:rPr>
                <w:sz w:val="20"/>
              </w:rPr>
            </w:pPr>
          </w:p>
          <w:p w14:paraId="785EBBDF">
            <w:pPr>
              <w:pStyle w:val="12"/>
              <w:rPr>
                <w:sz w:val="20"/>
              </w:rPr>
            </w:pPr>
          </w:p>
          <w:p w14:paraId="09B5944B">
            <w:pPr>
              <w:pStyle w:val="12"/>
              <w:spacing w:before="130" w:line="255" w:lineRule="exact"/>
              <w:ind w:left="74" w:right="69"/>
              <w:jc w:val="center"/>
              <w:rPr>
                <w:rFonts w:ascii="黑体" w:eastAsia="黑体"/>
                <w:sz w:val="21"/>
              </w:rPr>
            </w:pPr>
            <w:r>
              <w:rPr>
                <w:rFonts w:hint="eastAsia" w:ascii="黑体" w:eastAsia="黑体"/>
                <w:sz w:val="21"/>
              </w:rPr>
              <w:t>过程</w:t>
            </w:r>
          </w:p>
          <w:p w14:paraId="283C7DBE">
            <w:pPr>
              <w:pStyle w:val="12"/>
              <w:spacing w:line="255" w:lineRule="exact"/>
              <w:ind w:left="77" w:right="69"/>
              <w:jc w:val="center"/>
              <w:rPr>
                <w:rFonts w:ascii="黑体" w:eastAsia="黑体"/>
                <w:sz w:val="21"/>
              </w:rPr>
            </w:pPr>
            <w:r>
              <w:rPr>
                <w:rFonts w:hint="eastAsia" w:ascii="黑体" w:eastAsia="黑体"/>
                <w:sz w:val="21"/>
              </w:rPr>
              <w:t>（</w:t>
            </w:r>
            <w:r>
              <w:rPr>
                <w:rFonts w:hint="eastAsia" w:ascii="黑体" w:eastAsia="黑体"/>
                <w:sz w:val="21"/>
                <w:lang w:val="en-US" w:eastAsia="zh-CN"/>
              </w:rPr>
              <w:t>20</w:t>
            </w:r>
            <w:r>
              <w:rPr>
                <w:rFonts w:hint="eastAsia" w:ascii="黑体" w:eastAsia="黑体"/>
                <w:sz w:val="21"/>
              </w:rPr>
              <w:t xml:space="preserve"> 分）</w:t>
            </w:r>
          </w:p>
        </w:tc>
        <w:tc>
          <w:tcPr>
            <w:tcW w:w="1361" w:type="dxa"/>
            <w:vMerge w:val="restart"/>
          </w:tcPr>
          <w:p w14:paraId="0EA97E93">
            <w:pPr>
              <w:pStyle w:val="12"/>
              <w:rPr>
                <w:sz w:val="20"/>
              </w:rPr>
            </w:pPr>
          </w:p>
          <w:p w14:paraId="2F2620F9">
            <w:pPr>
              <w:pStyle w:val="12"/>
              <w:spacing w:before="175"/>
              <w:ind w:left="259"/>
              <w:rPr>
                <w:rFonts w:ascii="黑体" w:eastAsia="黑体"/>
                <w:sz w:val="21"/>
              </w:rPr>
            </w:pPr>
            <w:r>
              <w:rPr>
                <w:rFonts w:hint="eastAsia" w:ascii="黑体" w:eastAsia="黑体"/>
                <w:sz w:val="21"/>
              </w:rPr>
              <w:t>资金管理</w:t>
            </w:r>
          </w:p>
        </w:tc>
        <w:tc>
          <w:tcPr>
            <w:tcW w:w="596" w:type="dxa"/>
            <w:vMerge w:val="restart"/>
          </w:tcPr>
          <w:p w14:paraId="1C379C08">
            <w:pPr>
              <w:pStyle w:val="12"/>
              <w:jc w:val="center"/>
              <w:rPr>
                <w:rFonts w:hint="default" w:ascii="Times New Roman" w:eastAsia="宋体"/>
                <w:sz w:val="20"/>
                <w:lang w:val="en-US" w:eastAsia="zh-CN"/>
              </w:rPr>
            </w:pPr>
            <w:r>
              <w:rPr>
                <w:rFonts w:hint="eastAsia"/>
                <w:sz w:val="20"/>
                <w:lang w:val="en-US" w:eastAsia="zh-CN"/>
              </w:rPr>
              <w:t>15</w:t>
            </w:r>
          </w:p>
        </w:tc>
        <w:tc>
          <w:tcPr>
            <w:tcW w:w="1963" w:type="dxa"/>
          </w:tcPr>
          <w:p w14:paraId="7D6DDD11">
            <w:pPr>
              <w:pStyle w:val="12"/>
              <w:spacing w:before="38"/>
              <w:ind w:left="224" w:right="217"/>
              <w:jc w:val="center"/>
              <w:rPr>
                <w:rFonts w:ascii="黑体" w:eastAsia="黑体"/>
                <w:sz w:val="21"/>
              </w:rPr>
            </w:pPr>
            <w:r>
              <w:rPr>
                <w:rFonts w:hint="eastAsia" w:ascii="黑体" w:eastAsia="黑体"/>
                <w:sz w:val="21"/>
              </w:rPr>
              <w:t>资金到位率</w:t>
            </w:r>
          </w:p>
        </w:tc>
        <w:tc>
          <w:tcPr>
            <w:tcW w:w="803" w:type="dxa"/>
            <w:vAlign w:val="center"/>
          </w:tcPr>
          <w:p w14:paraId="57D98D9F">
            <w:pPr>
              <w:widowControl/>
              <w:jc w:val="center"/>
              <w:rPr>
                <w:rFonts w:hint="default" w:eastAsia="宋体"/>
                <w:sz w:val="20"/>
                <w:szCs w:val="20"/>
                <w:lang w:val="en-US" w:eastAsia="zh-CN"/>
              </w:rPr>
            </w:pPr>
            <w:r>
              <w:rPr>
                <w:rFonts w:hint="eastAsia"/>
                <w:sz w:val="20"/>
                <w:szCs w:val="20"/>
                <w:lang w:val="en-US" w:eastAsia="zh-CN"/>
              </w:rPr>
              <w:t>5</w:t>
            </w:r>
          </w:p>
        </w:tc>
        <w:tc>
          <w:tcPr>
            <w:tcW w:w="3883" w:type="dxa"/>
            <w:vAlign w:val="center"/>
          </w:tcPr>
          <w:p w14:paraId="29945BFF">
            <w:pPr>
              <w:widowControl/>
              <w:rPr>
                <w:sz w:val="20"/>
                <w:szCs w:val="20"/>
              </w:rPr>
            </w:pPr>
            <w:r>
              <w:rPr>
                <w:rFonts w:hint="eastAsia"/>
                <w:sz w:val="20"/>
                <w:szCs w:val="20"/>
              </w:rPr>
              <w:t>资金到位率=实际到位资金/预算资金*100%，资金到位率100%，未100%完成，按资金到位率*</w:t>
            </w:r>
          </w:p>
        </w:tc>
        <w:tc>
          <w:tcPr>
            <w:tcW w:w="675" w:type="dxa"/>
            <w:vAlign w:val="center"/>
          </w:tcPr>
          <w:p w14:paraId="23C12775">
            <w:pPr>
              <w:pStyle w:val="12"/>
              <w:jc w:val="center"/>
              <w:rPr>
                <w:rFonts w:hint="eastAsia" w:ascii="Times New Roman" w:eastAsia="宋体"/>
                <w:sz w:val="20"/>
                <w:lang w:val="en-US" w:eastAsia="zh-CN"/>
              </w:rPr>
            </w:pPr>
            <w:r>
              <w:rPr>
                <w:rFonts w:hint="eastAsia" w:ascii="Times New Roman"/>
                <w:sz w:val="20"/>
                <w:lang w:val="en-US" w:eastAsia="zh-CN"/>
              </w:rPr>
              <w:t>5</w:t>
            </w:r>
          </w:p>
        </w:tc>
      </w:tr>
      <w:tr w14:paraId="024C2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141" w:type="dxa"/>
            <w:vMerge w:val="continue"/>
            <w:tcBorders>
              <w:top w:val="nil"/>
            </w:tcBorders>
          </w:tcPr>
          <w:p w14:paraId="710B7B0B">
            <w:pPr>
              <w:rPr>
                <w:sz w:val="2"/>
                <w:szCs w:val="2"/>
              </w:rPr>
            </w:pPr>
          </w:p>
        </w:tc>
        <w:tc>
          <w:tcPr>
            <w:tcW w:w="1361" w:type="dxa"/>
            <w:vMerge w:val="continue"/>
            <w:tcBorders>
              <w:top w:val="nil"/>
            </w:tcBorders>
          </w:tcPr>
          <w:p w14:paraId="2C465640">
            <w:pPr>
              <w:rPr>
                <w:sz w:val="2"/>
                <w:szCs w:val="2"/>
              </w:rPr>
            </w:pPr>
          </w:p>
        </w:tc>
        <w:tc>
          <w:tcPr>
            <w:tcW w:w="596" w:type="dxa"/>
            <w:vMerge w:val="continue"/>
            <w:tcBorders>
              <w:top w:val="nil"/>
            </w:tcBorders>
          </w:tcPr>
          <w:p w14:paraId="551B17BC">
            <w:pPr>
              <w:jc w:val="center"/>
              <w:rPr>
                <w:sz w:val="2"/>
                <w:szCs w:val="2"/>
              </w:rPr>
            </w:pPr>
          </w:p>
        </w:tc>
        <w:tc>
          <w:tcPr>
            <w:tcW w:w="1963" w:type="dxa"/>
          </w:tcPr>
          <w:p w14:paraId="30EE36A7">
            <w:pPr>
              <w:pStyle w:val="12"/>
              <w:spacing w:before="37"/>
              <w:ind w:left="224" w:right="217"/>
              <w:jc w:val="center"/>
              <w:rPr>
                <w:rFonts w:ascii="黑体" w:eastAsia="黑体"/>
                <w:sz w:val="21"/>
              </w:rPr>
            </w:pPr>
            <w:r>
              <w:rPr>
                <w:rFonts w:hint="eastAsia" w:ascii="黑体" w:eastAsia="黑体"/>
                <w:sz w:val="21"/>
              </w:rPr>
              <w:t>预算执行率</w:t>
            </w:r>
          </w:p>
        </w:tc>
        <w:tc>
          <w:tcPr>
            <w:tcW w:w="803" w:type="dxa"/>
            <w:vAlign w:val="center"/>
          </w:tcPr>
          <w:p w14:paraId="215E780C">
            <w:pPr>
              <w:widowControl/>
              <w:jc w:val="center"/>
              <w:rPr>
                <w:rFonts w:hint="default" w:eastAsia="宋体"/>
                <w:sz w:val="20"/>
                <w:szCs w:val="20"/>
                <w:lang w:val="en-US" w:eastAsia="zh-CN"/>
              </w:rPr>
            </w:pPr>
            <w:r>
              <w:rPr>
                <w:rFonts w:hint="eastAsia"/>
                <w:sz w:val="20"/>
                <w:szCs w:val="20"/>
                <w:lang w:val="en-US" w:eastAsia="zh-CN"/>
              </w:rPr>
              <w:t>10</w:t>
            </w:r>
          </w:p>
        </w:tc>
        <w:tc>
          <w:tcPr>
            <w:tcW w:w="3883" w:type="dxa"/>
            <w:vAlign w:val="center"/>
          </w:tcPr>
          <w:p w14:paraId="395D659E">
            <w:pPr>
              <w:widowControl/>
              <w:rPr>
                <w:sz w:val="20"/>
                <w:szCs w:val="20"/>
              </w:rPr>
            </w:pPr>
            <w:r>
              <w:rPr>
                <w:rFonts w:hint="eastAsia"/>
                <w:sz w:val="20"/>
                <w:szCs w:val="20"/>
              </w:rPr>
              <w:t>预算执行率=（实际支出资金/实际到位资金）*100%，预算执行率100%，未100%完成，按预算执行率*</w:t>
            </w:r>
          </w:p>
        </w:tc>
        <w:tc>
          <w:tcPr>
            <w:tcW w:w="675" w:type="dxa"/>
            <w:vAlign w:val="center"/>
          </w:tcPr>
          <w:p w14:paraId="5D4F5D30">
            <w:pPr>
              <w:pStyle w:val="12"/>
              <w:jc w:val="center"/>
              <w:rPr>
                <w:rFonts w:hint="eastAsia" w:ascii="Times New Roman" w:eastAsia="宋体"/>
                <w:sz w:val="20"/>
                <w:lang w:val="en-US" w:eastAsia="zh-CN"/>
              </w:rPr>
            </w:pPr>
            <w:r>
              <w:rPr>
                <w:rFonts w:hint="eastAsia"/>
                <w:sz w:val="20"/>
                <w:lang w:val="en-US" w:eastAsia="zh-CN"/>
              </w:rPr>
              <w:t>8.13</w:t>
            </w:r>
          </w:p>
        </w:tc>
      </w:tr>
      <w:tr w14:paraId="6C6F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141" w:type="dxa"/>
            <w:vMerge w:val="continue"/>
            <w:tcBorders>
              <w:top w:val="nil"/>
            </w:tcBorders>
          </w:tcPr>
          <w:p w14:paraId="34C38683">
            <w:pPr>
              <w:rPr>
                <w:sz w:val="2"/>
                <w:szCs w:val="2"/>
              </w:rPr>
            </w:pPr>
          </w:p>
        </w:tc>
        <w:tc>
          <w:tcPr>
            <w:tcW w:w="1361" w:type="dxa"/>
            <w:vMerge w:val="restart"/>
          </w:tcPr>
          <w:p w14:paraId="11BC4011">
            <w:pPr>
              <w:pStyle w:val="12"/>
              <w:spacing w:before="12"/>
              <w:rPr>
                <w:sz w:val="23"/>
              </w:rPr>
            </w:pPr>
          </w:p>
          <w:p w14:paraId="60D60F62">
            <w:pPr>
              <w:pStyle w:val="12"/>
              <w:ind w:left="259"/>
              <w:rPr>
                <w:rFonts w:ascii="黑体" w:eastAsia="黑体"/>
                <w:sz w:val="21"/>
              </w:rPr>
            </w:pPr>
            <w:r>
              <w:rPr>
                <w:rFonts w:hint="eastAsia" w:ascii="黑体" w:eastAsia="黑体"/>
                <w:sz w:val="21"/>
              </w:rPr>
              <w:t>组织实施</w:t>
            </w:r>
          </w:p>
        </w:tc>
        <w:tc>
          <w:tcPr>
            <w:tcW w:w="596" w:type="dxa"/>
            <w:vMerge w:val="restart"/>
          </w:tcPr>
          <w:p w14:paraId="2B7A42A1">
            <w:pPr>
              <w:pStyle w:val="12"/>
              <w:jc w:val="center"/>
              <w:rPr>
                <w:rFonts w:hint="eastAsia" w:ascii="Times New Roman" w:eastAsia="宋体"/>
                <w:sz w:val="20"/>
                <w:lang w:val="en-US" w:eastAsia="zh-CN"/>
              </w:rPr>
            </w:pPr>
            <w:r>
              <w:rPr>
                <w:rFonts w:hint="eastAsia"/>
                <w:sz w:val="20"/>
                <w:lang w:val="en-US" w:eastAsia="zh-CN"/>
              </w:rPr>
              <w:t>5</w:t>
            </w:r>
          </w:p>
        </w:tc>
        <w:tc>
          <w:tcPr>
            <w:tcW w:w="1963" w:type="dxa"/>
          </w:tcPr>
          <w:p w14:paraId="648B05B6">
            <w:pPr>
              <w:pStyle w:val="12"/>
              <w:spacing w:before="93"/>
              <w:ind w:left="224" w:right="219"/>
              <w:jc w:val="center"/>
              <w:rPr>
                <w:rFonts w:ascii="黑体" w:eastAsia="黑体"/>
                <w:sz w:val="21"/>
              </w:rPr>
            </w:pPr>
            <w:r>
              <w:rPr>
                <w:rFonts w:hint="eastAsia" w:ascii="黑体" w:eastAsia="黑体"/>
                <w:sz w:val="21"/>
              </w:rPr>
              <w:t>管理制度健全性</w:t>
            </w:r>
          </w:p>
        </w:tc>
        <w:tc>
          <w:tcPr>
            <w:tcW w:w="803" w:type="dxa"/>
            <w:vAlign w:val="center"/>
          </w:tcPr>
          <w:p w14:paraId="7B6CF16C">
            <w:pPr>
              <w:widowControl/>
              <w:jc w:val="center"/>
              <w:rPr>
                <w:sz w:val="20"/>
                <w:szCs w:val="20"/>
              </w:rPr>
            </w:pPr>
            <w:r>
              <w:rPr>
                <w:rFonts w:hint="eastAsia"/>
                <w:sz w:val="20"/>
                <w:szCs w:val="20"/>
              </w:rPr>
              <w:t>3</w:t>
            </w:r>
          </w:p>
        </w:tc>
        <w:tc>
          <w:tcPr>
            <w:tcW w:w="3883" w:type="dxa"/>
            <w:vAlign w:val="center"/>
          </w:tcPr>
          <w:p w14:paraId="52AB6234">
            <w:pPr>
              <w:widowControl/>
              <w:numPr>
                <w:ilvl w:val="0"/>
                <w:numId w:val="5"/>
              </w:numPr>
              <w:rPr>
                <w:rFonts w:hint="eastAsia"/>
                <w:sz w:val="20"/>
                <w:szCs w:val="20"/>
              </w:rPr>
            </w:pPr>
            <w:r>
              <w:rPr>
                <w:rFonts w:hint="eastAsia"/>
                <w:sz w:val="20"/>
                <w:szCs w:val="20"/>
              </w:rPr>
              <w:t xml:space="preserve">项目实施单位的财务和业务管理制度；                                                                          2、项目实施单位的财务和业务管理制度合法、合规    </w:t>
            </w:r>
          </w:p>
          <w:p w14:paraId="19162FD4">
            <w:pPr>
              <w:widowControl/>
              <w:numPr>
                <w:ilvl w:val="0"/>
                <w:numId w:val="0"/>
              </w:numPr>
              <w:rPr>
                <w:sz w:val="20"/>
                <w:szCs w:val="20"/>
              </w:rPr>
            </w:pPr>
            <w:r>
              <w:rPr>
                <w:rFonts w:hint="eastAsia"/>
                <w:sz w:val="20"/>
                <w:szCs w:val="20"/>
              </w:rPr>
              <w:t xml:space="preserve">3、项目实施单位有专门的专项资金管理办法。                                                                              </w:t>
            </w:r>
          </w:p>
        </w:tc>
        <w:tc>
          <w:tcPr>
            <w:tcW w:w="675" w:type="dxa"/>
            <w:vAlign w:val="center"/>
          </w:tcPr>
          <w:p w14:paraId="27786F71">
            <w:pPr>
              <w:pStyle w:val="12"/>
              <w:jc w:val="center"/>
              <w:rPr>
                <w:rFonts w:hint="eastAsia" w:ascii="Times New Roman" w:eastAsia="宋体"/>
                <w:sz w:val="20"/>
                <w:lang w:val="en-US" w:eastAsia="zh-CN"/>
              </w:rPr>
            </w:pPr>
            <w:r>
              <w:rPr>
                <w:rFonts w:hint="eastAsia" w:ascii="Times New Roman"/>
                <w:sz w:val="20"/>
                <w:lang w:val="en-US" w:eastAsia="zh-CN"/>
              </w:rPr>
              <w:t>3</w:t>
            </w:r>
          </w:p>
        </w:tc>
      </w:tr>
      <w:tr w14:paraId="5F0B6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41" w:type="dxa"/>
            <w:vMerge w:val="continue"/>
            <w:tcBorders>
              <w:top w:val="nil"/>
            </w:tcBorders>
          </w:tcPr>
          <w:p w14:paraId="6B4C0AAB">
            <w:pPr>
              <w:rPr>
                <w:sz w:val="2"/>
                <w:szCs w:val="2"/>
              </w:rPr>
            </w:pPr>
          </w:p>
        </w:tc>
        <w:tc>
          <w:tcPr>
            <w:tcW w:w="1361" w:type="dxa"/>
            <w:vMerge w:val="continue"/>
            <w:tcBorders>
              <w:top w:val="nil"/>
            </w:tcBorders>
          </w:tcPr>
          <w:p w14:paraId="66B49FBE">
            <w:pPr>
              <w:rPr>
                <w:sz w:val="2"/>
                <w:szCs w:val="2"/>
              </w:rPr>
            </w:pPr>
          </w:p>
        </w:tc>
        <w:tc>
          <w:tcPr>
            <w:tcW w:w="596" w:type="dxa"/>
            <w:vMerge w:val="continue"/>
            <w:tcBorders>
              <w:top w:val="nil"/>
            </w:tcBorders>
          </w:tcPr>
          <w:p w14:paraId="64E16FDD">
            <w:pPr>
              <w:jc w:val="center"/>
              <w:rPr>
                <w:sz w:val="2"/>
                <w:szCs w:val="2"/>
              </w:rPr>
            </w:pPr>
          </w:p>
        </w:tc>
        <w:tc>
          <w:tcPr>
            <w:tcW w:w="1963" w:type="dxa"/>
          </w:tcPr>
          <w:p w14:paraId="4CB2D415">
            <w:pPr>
              <w:pStyle w:val="12"/>
              <w:spacing w:before="70"/>
              <w:ind w:left="224" w:right="219"/>
              <w:jc w:val="center"/>
              <w:rPr>
                <w:rFonts w:ascii="黑体" w:eastAsia="黑体"/>
                <w:sz w:val="21"/>
              </w:rPr>
            </w:pPr>
            <w:r>
              <w:rPr>
                <w:rFonts w:hint="eastAsia" w:ascii="黑体" w:eastAsia="黑体"/>
                <w:sz w:val="21"/>
              </w:rPr>
              <w:t>制度执行有效性</w:t>
            </w:r>
          </w:p>
        </w:tc>
        <w:tc>
          <w:tcPr>
            <w:tcW w:w="803" w:type="dxa"/>
            <w:vAlign w:val="center"/>
          </w:tcPr>
          <w:p w14:paraId="24981D79">
            <w:pPr>
              <w:widowControl/>
              <w:jc w:val="center"/>
              <w:rPr>
                <w:rFonts w:hint="eastAsia" w:eastAsia="宋体"/>
                <w:sz w:val="20"/>
                <w:szCs w:val="20"/>
                <w:lang w:eastAsia="zh-CN"/>
              </w:rPr>
            </w:pPr>
            <w:r>
              <w:rPr>
                <w:rFonts w:hint="eastAsia"/>
                <w:sz w:val="20"/>
                <w:szCs w:val="20"/>
                <w:lang w:val="en-US" w:eastAsia="zh-CN"/>
              </w:rPr>
              <w:t>2</w:t>
            </w:r>
          </w:p>
        </w:tc>
        <w:tc>
          <w:tcPr>
            <w:tcW w:w="3883" w:type="dxa"/>
            <w:vAlign w:val="center"/>
          </w:tcPr>
          <w:p w14:paraId="623C8886">
            <w:pPr>
              <w:widowControl/>
              <w:rPr>
                <w:sz w:val="20"/>
                <w:szCs w:val="20"/>
              </w:rPr>
            </w:pPr>
            <w:r>
              <w:rPr>
                <w:rFonts w:hint="eastAsia"/>
                <w:sz w:val="20"/>
                <w:szCs w:val="20"/>
              </w:rPr>
              <w:t>1、遵守相关法律法规和相关管理规定；                                                                                    2、项目调整及支出调整手续完备；                                                                         3、项目合同、财务资料等资料齐全并及时归档                                                   4、项目实施的人员、条件、场地设备、信息支撑等落实到位。</w:t>
            </w:r>
          </w:p>
        </w:tc>
        <w:tc>
          <w:tcPr>
            <w:tcW w:w="675" w:type="dxa"/>
            <w:vAlign w:val="center"/>
          </w:tcPr>
          <w:p w14:paraId="0240043A">
            <w:pPr>
              <w:pStyle w:val="12"/>
              <w:jc w:val="center"/>
              <w:rPr>
                <w:rFonts w:hint="eastAsia" w:ascii="Times New Roman" w:eastAsia="宋体"/>
                <w:sz w:val="20"/>
                <w:lang w:val="en-US" w:eastAsia="zh-CN"/>
              </w:rPr>
            </w:pPr>
            <w:r>
              <w:rPr>
                <w:rFonts w:hint="eastAsia"/>
                <w:sz w:val="20"/>
                <w:lang w:val="en-US" w:eastAsia="zh-CN"/>
              </w:rPr>
              <w:t>2</w:t>
            </w:r>
          </w:p>
        </w:tc>
      </w:tr>
      <w:tr w14:paraId="5497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restart"/>
          </w:tcPr>
          <w:p w14:paraId="704D5BC2">
            <w:pPr>
              <w:pStyle w:val="12"/>
              <w:rPr>
                <w:sz w:val="20"/>
              </w:rPr>
            </w:pPr>
          </w:p>
          <w:p w14:paraId="58B86285">
            <w:pPr>
              <w:pStyle w:val="12"/>
              <w:rPr>
                <w:sz w:val="20"/>
              </w:rPr>
            </w:pPr>
          </w:p>
          <w:p w14:paraId="04EC2FD5">
            <w:pPr>
              <w:pStyle w:val="12"/>
              <w:spacing w:before="1"/>
            </w:pPr>
          </w:p>
          <w:p w14:paraId="15FC2D9C">
            <w:pPr>
              <w:pStyle w:val="12"/>
              <w:spacing w:before="1" w:line="255" w:lineRule="exact"/>
              <w:ind w:left="74" w:right="69"/>
              <w:jc w:val="center"/>
              <w:rPr>
                <w:rFonts w:ascii="黑体" w:eastAsia="黑体"/>
                <w:sz w:val="21"/>
              </w:rPr>
            </w:pPr>
            <w:r>
              <w:rPr>
                <w:rFonts w:hint="eastAsia" w:ascii="黑体" w:eastAsia="黑体"/>
                <w:sz w:val="21"/>
              </w:rPr>
              <w:t>产出</w:t>
            </w:r>
          </w:p>
          <w:p w14:paraId="37063413">
            <w:pPr>
              <w:pStyle w:val="12"/>
              <w:spacing w:line="255" w:lineRule="exact"/>
              <w:ind w:left="77" w:right="69"/>
              <w:jc w:val="center"/>
              <w:rPr>
                <w:rFonts w:ascii="黑体" w:eastAsia="黑体"/>
                <w:sz w:val="21"/>
              </w:rPr>
            </w:pPr>
            <w:r>
              <w:rPr>
                <w:rFonts w:hint="eastAsia" w:ascii="黑体" w:eastAsia="黑体"/>
                <w:sz w:val="21"/>
              </w:rPr>
              <w:t>（</w:t>
            </w:r>
            <w:r>
              <w:rPr>
                <w:rFonts w:hint="eastAsia" w:ascii="黑体" w:eastAsia="黑体"/>
                <w:sz w:val="21"/>
                <w:lang w:val="en-US" w:eastAsia="zh-CN"/>
              </w:rPr>
              <w:t>30</w:t>
            </w:r>
            <w:r>
              <w:rPr>
                <w:rFonts w:hint="eastAsia" w:ascii="黑体" w:eastAsia="黑体"/>
                <w:sz w:val="21"/>
              </w:rPr>
              <w:t xml:space="preserve"> 分）</w:t>
            </w:r>
          </w:p>
        </w:tc>
        <w:tc>
          <w:tcPr>
            <w:tcW w:w="1361" w:type="dxa"/>
            <w:vMerge w:val="restart"/>
          </w:tcPr>
          <w:p w14:paraId="3B29B09B">
            <w:pPr>
              <w:pStyle w:val="12"/>
              <w:spacing w:before="121"/>
              <w:ind w:left="259"/>
              <w:rPr>
                <w:rFonts w:ascii="黑体" w:eastAsia="黑体"/>
                <w:sz w:val="21"/>
              </w:rPr>
            </w:pPr>
            <w:r>
              <w:rPr>
                <w:rFonts w:hint="eastAsia" w:ascii="黑体" w:eastAsia="黑体"/>
                <w:sz w:val="21"/>
              </w:rPr>
              <w:t>产出数量</w:t>
            </w:r>
          </w:p>
        </w:tc>
        <w:tc>
          <w:tcPr>
            <w:tcW w:w="596" w:type="dxa"/>
            <w:vMerge w:val="restart"/>
          </w:tcPr>
          <w:p w14:paraId="58A962B4">
            <w:pPr>
              <w:pStyle w:val="12"/>
              <w:jc w:val="center"/>
              <w:rPr>
                <w:rFonts w:hint="default" w:ascii="Times New Roman" w:eastAsia="宋体"/>
                <w:sz w:val="20"/>
                <w:lang w:val="en-US" w:eastAsia="zh-CN"/>
              </w:rPr>
            </w:pPr>
            <w:r>
              <w:rPr>
                <w:rFonts w:hint="eastAsia"/>
                <w:sz w:val="20"/>
                <w:lang w:val="en-US" w:eastAsia="zh-CN"/>
              </w:rPr>
              <w:t>10</w:t>
            </w:r>
          </w:p>
        </w:tc>
        <w:tc>
          <w:tcPr>
            <w:tcW w:w="1963" w:type="dxa"/>
            <w:tcBorders>
              <w:bottom w:val="single" w:color="auto" w:sz="4" w:space="0"/>
            </w:tcBorders>
          </w:tcPr>
          <w:p w14:paraId="169F8650">
            <w:pPr>
              <w:pStyle w:val="12"/>
              <w:spacing w:before="19" w:line="252" w:lineRule="exact"/>
              <w:ind w:left="44"/>
              <w:rPr>
                <w:rFonts w:hint="eastAsia" w:ascii="黑体" w:hAnsi="黑体" w:eastAsia="宋体" w:cs="宋体"/>
                <w:sz w:val="20"/>
                <w:lang w:val="en-US" w:eastAsia="zh-CN"/>
              </w:rPr>
            </w:pPr>
            <w:r>
              <w:rPr>
                <w:rFonts w:hint="eastAsia" w:ascii="黑体" w:hAnsi="黑体" w:cs="宋体"/>
                <w:sz w:val="20"/>
                <w:lang w:val="en-US" w:eastAsia="zh-CN"/>
              </w:rPr>
              <w:t>应急消防演练次数达到年度工作计划和安排</w:t>
            </w:r>
          </w:p>
        </w:tc>
        <w:tc>
          <w:tcPr>
            <w:tcW w:w="803" w:type="dxa"/>
          </w:tcPr>
          <w:p w14:paraId="70D61E14">
            <w:pPr>
              <w:pStyle w:val="12"/>
              <w:jc w:val="center"/>
              <w:rPr>
                <w:rFonts w:hint="eastAsia" w:ascii="Times New Roman" w:eastAsia="宋体"/>
                <w:sz w:val="20"/>
                <w:lang w:val="en-US" w:eastAsia="zh-CN"/>
              </w:rPr>
            </w:pPr>
            <w:r>
              <w:rPr>
                <w:rFonts w:hint="eastAsia"/>
                <w:sz w:val="20"/>
                <w:lang w:val="en-US" w:eastAsia="zh-CN"/>
              </w:rPr>
              <w:t>5</w:t>
            </w:r>
          </w:p>
        </w:tc>
        <w:tc>
          <w:tcPr>
            <w:tcW w:w="3883" w:type="dxa"/>
          </w:tcPr>
          <w:p w14:paraId="19DF2FC8">
            <w:pPr>
              <w:pStyle w:val="12"/>
              <w:rPr>
                <w:rFonts w:ascii="Times New Roman"/>
                <w:sz w:val="20"/>
              </w:rPr>
            </w:pPr>
          </w:p>
          <w:p w14:paraId="1155F030">
            <w:r>
              <w:rPr>
                <w:rFonts w:hint="eastAsia"/>
                <w:sz w:val="20"/>
                <w:szCs w:val="20"/>
              </w:rPr>
              <w:t>完成任务满分，未</w:t>
            </w:r>
            <w:r>
              <w:rPr>
                <w:rFonts w:hint="eastAsia"/>
                <w:sz w:val="20"/>
                <w:szCs w:val="20"/>
                <w:lang w:eastAsia="zh-CN"/>
              </w:rPr>
              <w:t>完成按</w:t>
            </w:r>
            <w:r>
              <w:rPr>
                <w:rFonts w:hint="eastAsia"/>
                <w:sz w:val="20"/>
                <w:szCs w:val="20"/>
              </w:rPr>
              <w:t>比例扣分</w:t>
            </w:r>
          </w:p>
        </w:tc>
        <w:tc>
          <w:tcPr>
            <w:tcW w:w="675" w:type="dxa"/>
            <w:vAlign w:val="center"/>
          </w:tcPr>
          <w:p w14:paraId="04DE46DF">
            <w:pPr>
              <w:pStyle w:val="12"/>
              <w:jc w:val="center"/>
              <w:rPr>
                <w:rFonts w:hint="eastAsia" w:ascii="Times New Roman" w:eastAsia="宋体"/>
                <w:sz w:val="20"/>
                <w:lang w:val="en-US" w:eastAsia="zh-CN"/>
              </w:rPr>
            </w:pPr>
            <w:r>
              <w:rPr>
                <w:rFonts w:hint="eastAsia"/>
                <w:sz w:val="20"/>
                <w:lang w:val="en-US" w:eastAsia="zh-CN"/>
              </w:rPr>
              <w:t>5</w:t>
            </w:r>
          </w:p>
        </w:tc>
      </w:tr>
      <w:tr w14:paraId="01E8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continue"/>
          </w:tcPr>
          <w:p w14:paraId="7B7F2DD9">
            <w:pPr>
              <w:pStyle w:val="12"/>
              <w:spacing w:line="255" w:lineRule="exact"/>
              <w:ind w:left="77" w:right="69"/>
              <w:jc w:val="center"/>
              <w:rPr>
                <w:rFonts w:ascii="黑体" w:eastAsia="黑体"/>
                <w:sz w:val="21"/>
              </w:rPr>
            </w:pPr>
          </w:p>
        </w:tc>
        <w:tc>
          <w:tcPr>
            <w:tcW w:w="1361" w:type="dxa"/>
            <w:vMerge w:val="continue"/>
          </w:tcPr>
          <w:p w14:paraId="3AF283A4">
            <w:pPr>
              <w:pStyle w:val="12"/>
              <w:spacing w:before="121"/>
              <w:ind w:left="259"/>
              <w:rPr>
                <w:rFonts w:ascii="黑体" w:eastAsia="黑体"/>
                <w:sz w:val="21"/>
              </w:rPr>
            </w:pPr>
          </w:p>
        </w:tc>
        <w:tc>
          <w:tcPr>
            <w:tcW w:w="596" w:type="dxa"/>
            <w:vMerge w:val="continue"/>
          </w:tcPr>
          <w:p w14:paraId="7497C068">
            <w:pPr>
              <w:pStyle w:val="12"/>
              <w:jc w:val="center"/>
              <w:rPr>
                <w:rFonts w:ascii="Times New Roman"/>
                <w:sz w:val="20"/>
              </w:rPr>
            </w:pPr>
          </w:p>
        </w:tc>
        <w:tc>
          <w:tcPr>
            <w:tcW w:w="1963" w:type="dxa"/>
            <w:tcBorders>
              <w:bottom w:val="single" w:color="auto" w:sz="4" w:space="0"/>
            </w:tcBorders>
          </w:tcPr>
          <w:p w14:paraId="42443C58">
            <w:pPr>
              <w:pStyle w:val="12"/>
              <w:spacing w:before="19" w:line="252" w:lineRule="exact"/>
              <w:ind w:left="44"/>
              <w:rPr>
                <w:rFonts w:hint="eastAsia" w:ascii="黑体" w:hAnsi="黑体" w:eastAsia="宋体" w:cs="宋体"/>
                <w:sz w:val="20"/>
                <w:lang w:val="en-US" w:eastAsia="zh-CN"/>
              </w:rPr>
            </w:pPr>
            <w:r>
              <w:rPr>
                <w:rFonts w:hint="eastAsia" w:ascii="黑体" w:hAnsi="黑体" w:cs="宋体"/>
                <w:sz w:val="20"/>
                <w:lang w:val="en-US" w:eastAsia="zh-CN"/>
              </w:rPr>
              <w:t>防汛抗旱物资储备及采购按要求完成</w:t>
            </w:r>
          </w:p>
        </w:tc>
        <w:tc>
          <w:tcPr>
            <w:tcW w:w="803" w:type="dxa"/>
          </w:tcPr>
          <w:p w14:paraId="0A524334">
            <w:pPr>
              <w:pStyle w:val="12"/>
              <w:jc w:val="center"/>
              <w:rPr>
                <w:rFonts w:hint="eastAsia" w:ascii="Times New Roman" w:eastAsia="宋体"/>
                <w:sz w:val="20"/>
                <w:lang w:val="en-US" w:eastAsia="zh-CN"/>
              </w:rPr>
            </w:pPr>
            <w:r>
              <w:rPr>
                <w:rFonts w:hint="eastAsia"/>
                <w:sz w:val="20"/>
                <w:lang w:val="en-US" w:eastAsia="zh-CN"/>
              </w:rPr>
              <w:t>5</w:t>
            </w:r>
          </w:p>
        </w:tc>
        <w:tc>
          <w:tcPr>
            <w:tcW w:w="3883" w:type="dxa"/>
          </w:tcPr>
          <w:p w14:paraId="0C0D3BC7">
            <w:pPr>
              <w:pStyle w:val="12"/>
              <w:rPr>
                <w:rFonts w:ascii="Times New Roman"/>
                <w:sz w:val="20"/>
              </w:rPr>
            </w:pPr>
            <w:r>
              <w:rPr>
                <w:rFonts w:hint="eastAsia"/>
                <w:sz w:val="20"/>
                <w:szCs w:val="20"/>
              </w:rPr>
              <w:t>完成计划目标满分，未完成按比例扣分</w:t>
            </w:r>
          </w:p>
        </w:tc>
        <w:tc>
          <w:tcPr>
            <w:tcW w:w="675" w:type="dxa"/>
            <w:vAlign w:val="center"/>
          </w:tcPr>
          <w:p w14:paraId="1EB9520F">
            <w:pPr>
              <w:pStyle w:val="12"/>
              <w:jc w:val="center"/>
              <w:rPr>
                <w:rFonts w:hint="eastAsia" w:ascii="Times New Roman" w:eastAsia="宋体"/>
                <w:sz w:val="20"/>
                <w:lang w:val="en-US" w:eastAsia="zh-CN"/>
              </w:rPr>
            </w:pPr>
            <w:r>
              <w:rPr>
                <w:rFonts w:hint="eastAsia"/>
                <w:sz w:val="20"/>
                <w:lang w:val="en-US" w:eastAsia="zh-CN"/>
              </w:rPr>
              <w:t>5</w:t>
            </w:r>
          </w:p>
        </w:tc>
      </w:tr>
      <w:tr w14:paraId="6D1F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41" w:type="dxa"/>
            <w:vMerge w:val="continue"/>
            <w:tcBorders>
              <w:top w:val="nil"/>
            </w:tcBorders>
          </w:tcPr>
          <w:p w14:paraId="7F1A1E8A">
            <w:pPr>
              <w:rPr>
                <w:sz w:val="2"/>
                <w:szCs w:val="2"/>
              </w:rPr>
            </w:pPr>
          </w:p>
        </w:tc>
        <w:tc>
          <w:tcPr>
            <w:tcW w:w="1361" w:type="dxa"/>
            <w:vMerge w:val="restart"/>
          </w:tcPr>
          <w:p w14:paraId="0616E8C7">
            <w:pPr>
              <w:pStyle w:val="12"/>
              <w:spacing w:before="121"/>
              <w:ind w:left="259"/>
              <w:rPr>
                <w:rFonts w:ascii="黑体" w:eastAsia="黑体"/>
                <w:sz w:val="21"/>
              </w:rPr>
            </w:pPr>
            <w:r>
              <w:rPr>
                <w:rFonts w:hint="eastAsia" w:ascii="黑体" w:eastAsia="黑体"/>
                <w:sz w:val="21"/>
              </w:rPr>
              <w:t>产出质量</w:t>
            </w:r>
          </w:p>
        </w:tc>
        <w:tc>
          <w:tcPr>
            <w:tcW w:w="596" w:type="dxa"/>
            <w:vMerge w:val="restart"/>
          </w:tcPr>
          <w:p w14:paraId="3AB0CE9C">
            <w:pPr>
              <w:pStyle w:val="12"/>
              <w:jc w:val="center"/>
              <w:rPr>
                <w:rFonts w:hint="default" w:ascii="Times New Roman" w:eastAsia="宋体"/>
                <w:sz w:val="20"/>
                <w:lang w:val="en-US" w:eastAsia="zh-CN"/>
              </w:rPr>
            </w:pPr>
            <w:r>
              <w:rPr>
                <w:rFonts w:hint="eastAsia"/>
                <w:sz w:val="20"/>
                <w:lang w:val="en-US" w:eastAsia="zh-CN"/>
              </w:rPr>
              <w:t>10</w:t>
            </w:r>
          </w:p>
        </w:tc>
        <w:tc>
          <w:tcPr>
            <w:tcW w:w="1963" w:type="dxa"/>
            <w:tcBorders>
              <w:top w:val="single" w:color="auto" w:sz="4" w:space="0"/>
              <w:bottom w:val="single" w:color="auto" w:sz="4" w:space="0"/>
            </w:tcBorders>
            <w:vAlign w:val="top"/>
          </w:tcPr>
          <w:p w14:paraId="1CE020EF">
            <w:pPr>
              <w:pStyle w:val="12"/>
              <w:spacing w:before="19" w:line="252" w:lineRule="exact"/>
              <w:ind w:left="44"/>
              <w:rPr>
                <w:rFonts w:hint="default" w:ascii="黑体" w:hAnsi="黑体" w:eastAsia="宋体" w:cs="宋体"/>
                <w:sz w:val="20"/>
                <w:lang w:val="en-US" w:eastAsia="zh-CN"/>
              </w:rPr>
            </w:pPr>
            <w:r>
              <w:rPr>
                <w:rFonts w:hint="eastAsia" w:ascii="黑体" w:hAnsi="黑体" w:cs="宋体"/>
                <w:sz w:val="20"/>
                <w:lang w:val="en-US" w:eastAsia="zh-CN"/>
              </w:rPr>
              <w:t>应急演练按质完成、安全生产月知识宣传普及率提高</w:t>
            </w:r>
          </w:p>
        </w:tc>
        <w:tc>
          <w:tcPr>
            <w:tcW w:w="803" w:type="dxa"/>
          </w:tcPr>
          <w:p w14:paraId="697A9B72">
            <w:pPr>
              <w:pStyle w:val="12"/>
              <w:jc w:val="center"/>
              <w:rPr>
                <w:rFonts w:hint="eastAsia" w:ascii="Times New Roman" w:eastAsia="宋体"/>
                <w:sz w:val="20"/>
                <w:lang w:val="en-US" w:eastAsia="zh-CN"/>
              </w:rPr>
            </w:pPr>
            <w:r>
              <w:rPr>
                <w:rFonts w:hint="eastAsia" w:ascii="Times New Roman"/>
                <w:sz w:val="20"/>
                <w:lang w:val="en-US" w:eastAsia="zh-CN"/>
              </w:rPr>
              <w:t>5</w:t>
            </w:r>
          </w:p>
        </w:tc>
        <w:tc>
          <w:tcPr>
            <w:tcW w:w="3883" w:type="dxa"/>
          </w:tcPr>
          <w:p w14:paraId="5CC769F9">
            <w:pPr>
              <w:pStyle w:val="12"/>
              <w:rPr>
                <w:rFonts w:ascii="Times New Roman"/>
                <w:sz w:val="20"/>
              </w:rPr>
            </w:pPr>
            <w:r>
              <w:rPr>
                <w:rFonts w:hint="eastAsia"/>
                <w:sz w:val="20"/>
                <w:szCs w:val="20"/>
              </w:rPr>
              <w:t>完成计划目标满分，未完成按比例扣分</w:t>
            </w:r>
          </w:p>
        </w:tc>
        <w:tc>
          <w:tcPr>
            <w:tcW w:w="675" w:type="dxa"/>
            <w:vAlign w:val="center"/>
          </w:tcPr>
          <w:p w14:paraId="5C72413C">
            <w:pPr>
              <w:pStyle w:val="12"/>
              <w:jc w:val="center"/>
              <w:rPr>
                <w:rFonts w:hint="eastAsia" w:ascii="Times New Roman" w:eastAsia="宋体"/>
                <w:sz w:val="20"/>
                <w:lang w:val="en-US" w:eastAsia="zh-CN"/>
              </w:rPr>
            </w:pPr>
            <w:r>
              <w:rPr>
                <w:rFonts w:hint="eastAsia" w:ascii="Times New Roman"/>
                <w:sz w:val="20"/>
                <w:lang w:val="en-US" w:eastAsia="zh-CN"/>
              </w:rPr>
              <w:t>5</w:t>
            </w:r>
          </w:p>
        </w:tc>
      </w:tr>
      <w:tr w14:paraId="50623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41" w:type="dxa"/>
            <w:vMerge w:val="continue"/>
            <w:tcBorders>
              <w:top w:val="nil"/>
            </w:tcBorders>
          </w:tcPr>
          <w:p w14:paraId="5BEE0D16">
            <w:pPr>
              <w:rPr>
                <w:sz w:val="2"/>
                <w:szCs w:val="2"/>
              </w:rPr>
            </w:pPr>
          </w:p>
        </w:tc>
        <w:tc>
          <w:tcPr>
            <w:tcW w:w="1361" w:type="dxa"/>
            <w:vMerge w:val="continue"/>
          </w:tcPr>
          <w:p w14:paraId="686C749C">
            <w:pPr>
              <w:pStyle w:val="12"/>
              <w:spacing w:before="121"/>
              <w:ind w:left="259"/>
              <w:rPr>
                <w:rFonts w:ascii="黑体" w:eastAsia="黑体"/>
                <w:sz w:val="21"/>
              </w:rPr>
            </w:pPr>
          </w:p>
        </w:tc>
        <w:tc>
          <w:tcPr>
            <w:tcW w:w="596" w:type="dxa"/>
            <w:vMerge w:val="continue"/>
          </w:tcPr>
          <w:p w14:paraId="7D6518E1">
            <w:pPr>
              <w:pStyle w:val="12"/>
              <w:jc w:val="center"/>
              <w:rPr>
                <w:rFonts w:ascii="Times New Roman"/>
                <w:sz w:val="20"/>
              </w:rPr>
            </w:pPr>
          </w:p>
        </w:tc>
        <w:tc>
          <w:tcPr>
            <w:tcW w:w="1963" w:type="dxa"/>
            <w:tcBorders>
              <w:top w:val="single" w:color="auto" w:sz="4" w:space="0"/>
              <w:bottom w:val="single" w:color="auto" w:sz="4" w:space="0"/>
            </w:tcBorders>
            <w:vAlign w:val="top"/>
          </w:tcPr>
          <w:p w14:paraId="1D6D8BB1">
            <w:pPr>
              <w:pStyle w:val="12"/>
              <w:spacing w:before="19" w:line="252" w:lineRule="exact"/>
              <w:ind w:left="44"/>
              <w:rPr>
                <w:rFonts w:hint="eastAsia" w:ascii="黑体" w:hAnsi="黑体" w:eastAsia="宋体" w:cs="宋体"/>
                <w:sz w:val="20"/>
              </w:rPr>
            </w:pPr>
            <w:r>
              <w:rPr>
                <w:rFonts w:hint="eastAsia" w:ascii="黑体" w:hAnsi="黑体" w:cs="宋体"/>
                <w:sz w:val="20"/>
                <w:lang w:val="en-US" w:eastAsia="zh-CN"/>
              </w:rPr>
              <w:t>灾害信息及时报送</w:t>
            </w:r>
          </w:p>
        </w:tc>
        <w:tc>
          <w:tcPr>
            <w:tcW w:w="803" w:type="dxa"/>
          </w:tcPr>
          <w:p w14:paraId="30CBDFC6">
            <w:pPr>
              <w:pStyle w:val="12"/>
              <w:jc w:val="center"/>
              <w:rPr>
                <w:rFonts w:hint="eastAsia" w:ascii="Times New Roman" w:eastAsia="宋体"/>
                <w:sz w:val="20"/>
                <w:lang w:val="en-US" w:eastAsia="zh-CN"/>
              </w:rPr>
            </w:pPr>
            <w:r>
              <w:rPr>
                <w:rFonts w:hint="eastAsia" w:ascii="Times New Roman"/>
                <w:sz w:val="20"/>
                <w:lang w:val="en-US" w:eastAsia="zh-CN"/>
              </w:rPr>
              <w:t>5</w:t>
            </w:r>
          </w:p>
        </w:tc>
        <w:tc>
          <w:tcPr>
            <w:tcW w:w="3883" w:type="dxa"/>
          </w:tcPr>
          <w:p w14:paraId="1E5A7785">
            <w:pPr>
              <w:pStyle w:val="12"/>
              <w:rPr>
                <w:rFonts w:ascii="Times New Roman"/>
                <w:sz w:val="20"/>
              </w:rPr>
            </w:pPr>
            <w:r>
              <w:rPr>
                <w:rFonts w:hint="eastAsia"/>
                <w:sz w:val="20"/>
                <w:szCs w:val="20"/>
              </w:rPr>
              <w:t>完成计划目标满分，未完成按比例扣分</w:t>
            </w:r>
          </w:p>
        </w:tc>
        <w:tc>
          <w:tcPr>
            <w:tcW w:w="675" w:type="dxa"/>
            <w:vAlign w:val="center"/>
          </w:tcPr>
          <w:p w14:paraId="74D802E7">
            <w:pPr>
              <w:pStyle w:val="12"/>
              <w:jc w:val="center"/>
              <w:rPr>
                <w:rFonts w:hint="eastAsia" w:ascii="Times New Roman" w:eastAsia="宋体"/>
                <w:sz w:val="20"/>
                <w:lang w:val="en-US" w:eastAsia="zh-CN"/>
              </w:rPr>
            </w:pPr>
            <w:r>
              <w:rPr>
                <w:rFonts w:hint="eastAsia" w:ascii="Times New Roman"/>
                <w:sz w:val="20"/>
                <w:lang w:val="en-US" w:eastAsia="zh-CN"/>
              </w:rPr>
              <w:t>4</w:t>
            </w:r>
          </w:p>
        </w:tc>
      </w:tr>
      <w:tr w14:paraId="4603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continue"/>
            <w:tcBorders>
              <w:top w:val="nil"/>
            </w:tcBorders>
          </w:tcPr>
          <w:p w14:paraId="4574554A">
            <w:pPr>
              <w:rPr>
                <w:sz w:val="2"/>
                <w:szCs w:val="2"/>
              </w:rPr>
            </w:pPr>
          </w:p>
        </w:tc>
        <w:tc>
          <w:tcPr>
            <w:tcW w:w="1361" w:type="dxa"/>
            <w:vMerge w:val="restart"/>
          </w:tcPr>
          <w:p w14:paraId="034AD6F8">
            <w:pPr>
              <w:pStyle w:val="12"/>
              <w:spacing w:before="122"/>
              <w:ind w:left="259"/>
              <w:rPr>
                <w:rFonts w:ascii="黑体" w:eastAsia="黑体"/>
                <w:sz w:val="21"/>
              </w:rPr>
            </w:pPr>
            <w:r>
              <w:rPr>
                <w:rFonts w:hint="eastAsia" w:ascii="黑体" w:eastAsia="黑体"/>
                <w:sz w:val="21"/>
              </w:rPr>
              <w:t>产出时效</w:t>
            </w:r>
          </w:p>
        </w:tc>
        <w:tc>
          <w:tcPr>
            <w:tcW w:w="596" w:type="dxa"/>
            <w:vMerge w:val="restart"/>
          </w:tcPr>
          <w:p w14:paraId="7EB43CB1">
            <w:pPr>
              <w:pStyle w:val="12"/>
              <w:jc w:val="center"/>
              <w:rPr>
                <w:rFonts w:hint="default" w:ascii="Times New Roman" w:eastAsia="宋体"/>
                <w:sz w:val="20"/>
                <w:lang w:val="en-US" w:eastAsia="zh-CN"/>
              </w:rPr>
            </w:pPr>
            <w:r>
              <w:rPr>
                <w:rFonts w:hint="eastAsia"/>
                <w:sz w:val="20"/>
                <w:lang w:val="en-US" w:eastAsia="zh-CN"/>
              </w:rPr>
              <w:t>5</w:t>
            </w:r>
          </w:p>
        </w:tc>
        <w:tc>
          <w:tcPr>
            <w:tcW w:w="1963" w:type="dxa"/>
            <w:tcBorders>
              <w:top w:val="single" w:color="auto" w:sz="4" w:space="0"/>
              <w:bottom w:val="single" w:color="auto" w:sz="4" w:space="0"/>
            </w:tcBorders>
          </w:tcPr>
          <w:p w14:paraId="1324F657">
            <w:pPr>
              <w:pStyle w:val="12"/>
              <w:spacing w:before="19" w:line="252" w:lineRule="exact"/>
              <w:ind w:left="44"/>
              <w:rPr>
                <w:rFonts w:hint="eastAsia" w:ascii="黑体" w:hAnsi="黑体" w:eastAsia="宋体" w:cs="宋体"/>
                <w:sz w:val="20"/>
              </w:rPr>
            </w:pPr>
            <w:r>
              <w:rPr>
                <w:rFonts w:hint="eastAsia" w:ascii="黑体" w:hAnsi="黑体" w:eastAsia="宋体" w:cs="宋体"/>
                <w:sz w:val="20"/>
              </w:rPr>
              <w:t>资金拨付及时率</w:t>
            </w:r>
          </w:p>
        </w:tc>
        <w:tc>
          <w:tcPr>
            <w:tcW w:w="803" w:type="dxa"/>
          </w:tcPr>
          <w:p w14:paraId="6603BDD6">
            <w:pPr>
              <w:pStyle w:val="12"/>
              <w:jc w:val="center"/>
              <w:rPr>
                <w:rFonts w:hint="eastAsia" w:ascii="Times New Roman" w:eastAsia="宋体"/>
                <w:sz w:val="20"/>
                <w:lang w:val="en-US" w:eastAsia="zh-CN"/>
              </w:rPr>
            </w:pPr>
            <w:r>
              <w:rPr>
                <w:rFonts w:hint="eastAsia" w:ascii="Times New Roman"/>
                <w:sz w:val="20"/>
                <w:lang w:val="en-US" w:eastAsia="zh-CN"/>
              </w:rPr>
              <w:t>2</w:t>
            </w:r>
          </w:p>
        </w:tc>
        <w:tc>
          <w:tcPr>
            <w:tcW w:w="3883" w:type="dxa"/>
          </w:tcPr>
          <w:p w14:paraId="11A612EE">
            <w:pPr>
              <w:pStyle w:val="12"/>
              <w:rPr>
                <w:rFonts w:ascii="Times New Roman"/>
                <w:sz w:val="20"/>
              </w:rPr>
            </w:pPr>
            <w:r>
              <w:rPr>
                <w:rFonts w:hint="eastAsia"/>
                <w:sz w:val="20"/>
                <w:szCs w:val="20"/>
              </w:rPr>
              <w:t>完成计划目标满分，未完成按比例扣分</w:t>
            </w:r>
          </w:p>
        </w:tc>
        <w:tc>
          <w:tcPr>
            <w:tcW w:w="675" w:type="dxa"/>
            <w:vAlign w:val="center"/>
          </w:tcPr>
          <w:p w14:paraId="31550CD7">
            <w:pPr>
              <w:pStyle w:val="12"/>
              <w:jc w:val="center"/>
              <w:rPr>
                <w:rFonts w:hint="eastAsia" w:ascii="Times New Roman" w:eastAsia="宋体"/>
                <w:sz w:val="20"/>
                <w:lang w:val="en-US" w:eastAsia="zh-CN"/>
              </w:rPr>
            </w:pPr>
            <w:r>
              <w:rPr>
                <w:rFonts w:hint="eastAsia" w:ascii="Times New Roman"/>
                <w:sz w:val="20"/>
                <w:lang w:val="en-US" w:eastAsia="zh-CN"/>
              </w:rPr>
              <w:t>2</w:t>
            </w:r>
          </w:p>
        </w:tc>
      </w:tr>
      <w:tr w14:paraId="61817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continue"/>
            <w:tcBorders>
              <w:top w:val="nil"/>
            </w:tcBorders>
          </w:tcPr>
          <w:p w14:paraId="4A172C83">
            <w:pPr>
              <w:rPr>
                <w:sz w:val="2"/>
                <w:szCs w:val="2"/>
              </w:rPr>
            </w:pPr>
          </w:p>
        </w:tc>
        <w:tc>
          <w:tcPr>
            <w:tcW w:w="1361" w:type="dxa"/>
            <w:vMerge w:val="continue"/>
          </w:tcPr>
          <w:p w14:paraId="3EE3352F">
            <w:pPr>
              <w:pStyle w:val="12"/>
              <w:spacing w:before="122"/>
              <w:ind w:left="259"/>
              <w:rPr>
                <w:rFonts w:ascii="黑体" w:eastAsia="黑体"/>
                <w:sz w:val="21"/>
              </w:rPr>
            </w:pPr>
          </w:p>
        </w:tc>
        <w:tc>
          <w:tcPr>
            <w:tcW w:w="596" w:type="dxa"/>
            <w:vMerge w:val="continue"/>
          </w:tcPr>
          <w:p w14:paraId="6BAC3E6B">
            <w:pPr>
              <w:pStyle w:val="12"/>
              <w:jc w:val="center"/>
              <w:rPr>
                <w:rFonts w:ascii="Times New Roman"/>
                <w:sz w:val="20"/>
              </w:rPr>
            </w:pPr>
          </w:p>
        </w:tc>
        <w:tc>
          <w:tcPr>
            <w:tcW w:w="1963" w:type="dxa"/>
            <w:tcBorders>
              <w:top w:val="single" w:color="auto" w:sz="4" w:space="0"/>
              <w:bottom w:val="single" w:color="auto" w:sz="4" w:space="0"/>
            </w:tcBorders>
          </w:tcPr>
          <w:p w14:paraId="7090E78B">
            <w:pPr>
              <w:pStyle w:val="12"/>
              <w:spacing w:before="19" w:line="252" w:lineRule="exact"/>
              <w:ind w:left="44"/>
              <w:rPr>
                <w:rFonts w:hint="eastAsia" w:ascii="黑体" w:hAnsi="黑体" w:eastAsia="宋体" w:cs="宋体"/>
                <w:sz w:val="20"/>
              </w:rPr>
            </w:pPr>
            <w:r>
              <w:rPr>
                <w:rFonts w:hint="eastAsia" w:ascii="黑体" w:hAnsi="黑体" w:eastAsia="宋体" w:cs="宋体"/>
                <w:sz w:val="20"/>
              </w:rPr>
              <w:t>工作计划完成及时性</w:t>
            </w:r>
          </w:p>
        </w:tc>
        <w:tc>
          <w:tcPr>
            <w:tcW w:w="803" w:type="dxa"/>
          </w:tcPr>
          <w:p w14:paraId="742C291B">
            <w:pPr>
              <w:pStyle w:val="12"/>
              <w:jc w:val="center"/>
              <w:rPr>
                <w:rFonts w:hint="eastAsia" w:ascii="Times New Roman" w:eastAsia="宋体"/>
                <w:sz w:val="20"/>
                <w:lang w:val="en-US" w:eastAsia="zh-CN"/>
              </w:rPr>
            </w:pPr>
            <w:r>
              <w:rPr>
                <w:rFonts w:hint="eastAsia"/>
                <w:sz w:val="20"/>
                <w:lang w:val="en-US" w:eastAsia="zh-CN"/>
              </w:rPr>
              <w:t>3</w:t>
            </w:r>
          </w:p>
        </w:tc>
        <w:tc>
          <w:tcPr>
            <w:tcW w:w="3883" w:type="dxa"/>
          </w:tcPr>
          <w:p w14:paraId="1712778F">
            <w:pPr>
              <w:pStyle w:val="12"/>
              <w:rPr>
                <w:rFonts w:ascii="Times New Roman"/>
                <w:sz w:val="20"/>
              </w:rPr>
            </w:pPr>
            <w:r>
              <w:rPr>
                <w:rFonts w:hint="eastAsia"/>
                <w:sz w:val="20"/>
                <w:szCs w:val="20"/>
              </w:rPr>
              <w:t>完成计划目标满分，未完成按比例扣分</w:t>
            </w:r>
          </w:p>
        </w:tc>
        <w:tc>
          <w:tcPr>
            <w:tcW w:w="675" w:type="dxa"/>
            <w:vAlign w:val="center"/>
          </w:tcPr>
          <w:p w14:paraId="1962AFFD">
            <w:pPr>
              <w:pStyle w:val="12"/>
              <w:jc w:val="center"/>
              <w:rPr>
                <w:rFonts w:hint="eastAsia" w:ascii="Times New Roman" w:eastAsia="宋体"/>
                <w:sz w:val="20"/>
                <w:lang w:val="en-US" w:eastAsia="zh-CN"/>
              </w:rPr>
            </w:pPr>
            <w:r>
              <w:rPr>
                <w:rFonts w:hint="eastAsia" w:ascii="Times New Roman"/>
                <w:sz w:val="20"/>
                <w:lang w:val="en-US" w:eastAsia="zh-CN"/>
              </w:rPr>
              <w:t>3</w:t>
            </w:r>
          </w:p>
        </w:tc>
      </w:tr>
      <w:tr w14:paraId="03DD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continue"/>
            <w:tcBorders>
              <w:top w:val="nil"/>
            </w:tcBorders>
          </w:tcPr>
          <w:p w14:paraId="656C89AE">
            <w:pPr>
              <w:rPr>
                <w:sz w:val="2"/>
                <w:szCs w:val="2"/>
              </w:rPr>
            </w:pPr>
          </w:p>
        </w:tc>
        <w:tc>
          <w:tcPr>
            <w:tcW w:w="1361" w:type="dxa"/>
          </w:tcPr>
          <w:p w14:paraId="36CE133B">
            <w:pPr>
              <w:pStyle w:val="12"/>
              <w:spacing w:before="121"/>
              <w:ind w:left="259"/>
              <w:rPr>
                <w:rFonts w:ascii="黑体" w:eastAsia="黑体"/>
                <w:sz w:val="21"/>
              </w:rPr>
            </w:pPr>
            <w:r>
              <w:rPr>
                <w:rFonts w:hint="eastAsia" w:ascii="黑体" w:eastAsia="黑体"/>
                <w:sz w:val="21"/>
              </w:rPr>
              <w:t>产出成本</w:t>
            </w:r>
          </w:p>
        </w:tc>
        <w:tc>
          <w:tcPr>
            <w:tcW w:w="596" w:type="dxa"/>
          </w:tcPr>
          <w:p w14:paraId="42621FA9">
            <w:pPr>
              <w:pStyle w:val="12"/>
              <w:jc w:val="center"/>
              <w:rPr>
                <w:rFonts w:hint="default" w:ascii="Times New Roman" w:eastAsia="宋体"/>
                <w:sz w:val="20"/>
                <w:lang w:val="en-US" w:eastAsia="zh-CN"/>
              </w:rPr>
            </w:pPr>
            <w:r>
              <w:rPr>
                <w:rFonts w:hint="eastAsia"/>
                <w:sz w:val="20"/>
                <w:lang w:val="en-US" w:eastAsia="zh-CN"/>
              </w:rPr>
              <w:t>5</w:t>
            </w:r>
          </w:p>
        </w:tc>
        <w:tc>
          <w:tcPr>
            <w:tcW w:w="1963" w:type="dxa"/>
            <w:tcBorders>
              <w:top w:val="single" w:color="auto" w:sz="4" w:space="0"/>
              <w:bottom w:val="single" w:color="auto" w:sz="4" w:space="0"/>
            </w:tcBorders>
          </w:tcPr>
          <w:p w14:paraId="13065A13">
            <w:pPr>
              <w:pStyle w:val="12"/>
              <w:spacing w:before="19" w:line="252" w:lineRule="exact"/>
              <w:ind w:left="44"/>
              <w:rPr>
                <w:rFonts w:hint="eastAsia" w:ascii="黑体" w:hAnsi="黑体" w:eastAsia="宋体" w:cs="宋体"/>
                <w:sz w:val="20"/>
              </w:rPr>
            </w:pPr>
            <w:r>
              <w:rPr>
                <w:rFonts w:hint="eastAsia" w:ascii="黑体" w:hAnsi="黑体" w:eastAsia="宋体" w:cs="宋体"/>
                <w:sz w:val="20"/>
              </w:rPr>
              <w:t>项目成本控制率</w:t>
            </w:r>
          </w:p>
        </w:tc>
        <w:tc>
          <w:tcPr>
            <w:tcW w:w="803" w:type="dxa"/>
          </w:tcPr>
          <w:p w14:paraId="1B1C917A">
            <w:pPr>
              <w:pStyle w:val="12"/>
              <w:jc w:val="center"/>
              <w:rPr>
                <w:rFonts w:hint="default" w:ascii="Times New Roman" w:eastAsia="宋体"/>
                <w:sz w:val="20"/>
                <w:lang w:val="en-US" w:eastAsia="zh-CN"/>
              </w:rPr>
            </w:pPr>
            <w:r>
              <w:rPr>
                <w:rFonts w:hint="eastAsia"/>
                <w:sz w:val="20"/>
                <w:lang w:val="en-US" w:eastAsia="zh-CN"/>
              </w:rPr>
              <w:t>5</w:t>
            </w:r>
          </w:p>
        </w:tc>
        <w:tc>
          <w:tcPr>
            <w:tcW w:w="3883" w:type="dxa"/>
          </w:tcPr>
          <w:p w14:paraId="31E3AB26">
            <w:pPr>
              <w:pStyle w:val="12"/>
              <w:rPr>
                <w:rFonts w:ascii="Times New Roman"/>
                <w:sz w:val="20"/>
              </w:rPr>
            </w:pPr>
            <w:r>
              <w:rPr>
                <w:rFonts w:hint="eastAsia"/>
                <w:sz w:val="20"/>
                <w:szCs w:val="20"/>
              </w:rPr>
              <w:t>完成计划目标满分，未完成按比例扣分</w:t>
            </w:r>
          </w:p>
        </w:tc>
        <w:tc>
          <w:tcPr>
            <w:tcW w:w="675" w:type="dxa"/>
            <w:vAlign w:val="center"/>
          </w:tcPr>
          <w:p w14:paraId="50695794">
            <w:pPr>
              <w:pStyle w:val="12"/>
              <w:jc w:val="center"/>
              <w:rPr>
                <w:rFonts w:hint="default" w:ascii="Times New Roman" w:eastAsia="宋体"/>
                <w:sz w:val="20"/>
                <w:lang w:val="en-US" w:eastAsia="zh-CN"/>
              </w:rPr>
            </w:pPr>
            <w:r>
              <w:rPr>
                <w:rFonts w:hint="eastAsia"/>
                <w:sz w:val="20"/>
                <w:lang w:val="en-US" w:eastAsia="zh-CN"/>
              </w:rPr>
              <w:t>5</w:t>
            </w:r>
          </w:p>
        </w:tc>
      </w:tr>
      <w:tr w14:paraId="30DA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41" w:type="dxa"/>
            <w:vMerge w:val="restart"/>
          </w:tcPr>
          <w:p w14:paraId="7EB4E55D">
            <w:pPr>
              <w:pStyle w:val="12"/>
              <w:rPr>
                <w:sz w:val="20"/>
              </w:rPr>
            </w:pPr>
          </w:p>
          <w:p w14:paraId="7AF4D250">
            <w:pPr>
              <w:pStyle w:val="12"/>
              <w:rPr>
                <w:sz w:val="20"/>
              </w:rPr>
            </w:pPr>
          </w:p>
          <w:p w14:paraId="4D6C0B19">
            <w:pPr>
              <w:pStyle w:val="12"/>
            </w:pPr>
          </w:p>
          <w:p w14:paraId="535F991A">
            <w:pPr>
              <w:pStyle w:val="12"/>
              <w:spacing w:line="255" w:lineRule="exact"/>
              <w:ind w:left="74" w:right="69"/>
              <w:jc w:val="center"/>
              <w:rPr>
                <w:rFonts w:ascii="黑体" w:eastAsia="黑体"/>
                <w:sz w:val="21"/>
              </w:rPr>
            </w:pPr>
            <w:r>
              <w:rPr>
                <w:rFonts w:hint="eastAsia" w:ascii="黑体" w:eastAsia="黑体"/>
                <w:sz w:val="21"/>
              </w:rPr>
              <w:t>效益</w:t>
            </w:r>
          </w:p>
          <w:p w14:paraId="2C3A67F0">
            <w:pPr>
              <w:pStyle w:val="12"/>
              <w:spacing w:line="255" w:lineRule="exact"/>
              <w:ind w:left="77" w:right="69"/>
              <w:jc w:val="center"/>
              <w:rPr>
                <w:rFonts w:ascii="黑体" w:eastAsia="黑体"/>
                <w:sz w:val="21"/>
              </w:rPr>
            </w:pPr>
            <w:r>
              <w:rPr>
                <w:rFonts w:hint="eastAsia" w:ascii="黑体" w:eastAsia="黑体"/>
                <w:sz w:val="21"/>
              </w:rPr>
              <w:t>（</w:t>
            </w:r>
            <w:r>
              <w:rPr>
                <w:rFonts w:hint="eastAsia" w:ascii="黑体" w:eastAsia="黑体"/>
                <w:sz w:val="21"/>
                <w:lang w:val="en-US" w:eastAsia="zh-CN"/>
              </w:rPr>
              <w:t>20</w:t>
            </w:r>
            <w:r>
              <w:rPr>
                <w:rFonts w:hint="eastAsia" w:ascii="黑体" w:eastAsia="黑体"/>
                <w:sz w:val="21"/>
              </w:rPr>
              <w:t xml:space="preserve"> 分）</w:t>
            </w:r>
          </w:p>
        </w:tc>
        <w:tc>
          <w:tcPr>
            <w:tcW w:w="1361" w:type="dxa"/>
          </w:tcPr>
          <w:p w14:paraId="18D6DF85">
            <w:pPr>
              <w:pStyle w:val="12"/>
              <w:spacing w:before="120"/>
              <w:ind w:left="259"/>
              <w:rPr>
                <w:rFonts w:ascii="黑体" w:eastAsia="黑体"/>
                <w:sz w:val="21"/>
              </w:rPr>
            </w:pPr>
            <w:r>
              <w:rPr>
                <w:rFonts w:hint="eastAsia" w:ascii="黑体" w:eastAsia="黑体"/>
                <w:sz w:val="21"/>
              </w:rPr>
              <w:t>经济效益</w:t>
            </w:r>
          </w:p>
        </w:tc>
        <w:tc>
          <w:tcPr>
            <w:tcW w:w="596" w:type="dxa"/>
          </w:tcPr>
          <w:p w14:paraId="2634490A">
            <w:pPr>
              <w:pStyle w:val="12"/>
              <w:jc w:val="center"/>
              <w:rPr>
                <w:rFonts w:hint="default" w:ascii="Times New Roman" w:eastAsia="宋体"/>
                <w:sz w:val="20"/>
                <w:lang w:val="en-US" w:eastAsia="zh-CN"/>
              </w:rPr>
            </w:pPr>
            <w:r>
              <w:rPr>
                <w:rFonts w:hint="eastAsia"/>
                <w:sz w:val="20"/>
                <w:lang w:val="en-US" w:eastAsia="zh-CN"/>
              </w:rPr>
              <w:t>10</w:t>
            </w:r>
          </w:p>
        </w:tc>
        <w:tc>
          <w:tcPr>
            <w:tcW w:w="1963" w:type="dxa"/>
            <w:tcBorders>
              <w:top w:val="single" w:color="auto" w:sz="4" w:space="0"/>
              <w:bottom w:val="single" w:color="auto" w:sz="4" w:space="0"/>
            </w:tcBorders>
          </w:tcPr>
          <w:p w14:paraId="0AE515F7">
            <w:pPr>
              <w:rPr>
                <w:rFonts w:hint="eastAsia" w:ascii="黑体" w:hAnsi="黑体" w:eastAsia="宋体" w:cs="宋体"/>
                <w:kern w:val="2"/>
                <w:sz w:val="20"/>
                <w:lang w:val="en-US" w:eastAsia="zh-CN" w:bidi="ar-SA"/>
              </w:rPr>
            </w:pPr>
            <w:r>
              <w:rPr>
                <w:rFonts w:hint="eastAsia" w:ascii="黑体" w:hAnsi="黑体" w:cs="宋体"/>
                <w:kern w:val="2"/>
                <w:sz w:val="20"/>
                <w:lang w:val="en-US" w:eastAsia="zh-CN" w:bidi="ar-SA"/>
              </w:rPr>
              <w:t>减少安全生产事故发生</w:t>
            </w:r>
          </w:p>
        </w:tc>
        <w:tc>
          <w:tcPr>
            <w:tcW w:w="803" w:type="dxa"/>
          </w:tcPr>
          <w:p w14:paraId="74D3B8F7">
            <w:pPr>
              <w:pStyle w:val="12"/>
              <w:jc w:val="center"/>
              <w:rPr>
                <w:rFonts w:hint="default" w:ascii="Times New Roman" w:eastAsia="宋体"/>
                <w:sz w:val="20"/>
                <w:lang w:val="en-US" w:eastAsia="zh-CN"/>
              </w:rPr>
            </w:pPr>
            <w:r>
              <w:rPr>
                <w:rFonts w:hint="eastAsia"/>
                <w:sz w:val="20"/>
                <w:lang w:val="en-US" w:eastAsia="zh-CN"/>
              </w:rPr>
              <w:t>10</w:t>
            </w:r>
          </w:p>
        </w:tc>
        <w:tc>
          <w:tcPr>
            <w:tcW w:w="3883" w:type="dxa"/>
          </w:tcPr>
          <w:p w14:paraId="2FAFCCD9">
            <w:pPr>
              <w:pStyle w:val="12"/>
              <w:rPr>
                <w:rFonts w:ascii="Times New Roman"/>
                <w:sz w:val="20"/>
              </w:rPr>
            </w:pPr>
            <w:r>
              <w:rPr>
                <w:rFonts w:hint="eastAsia"/>
                <w:sz w:val="20"/>
                <w:szCs w:val="20"/>
              </w:rPr>
              <w:t>完成计划目标满分，未完成按比例扣分</w:t>
            </w:r>
          </w:p>
        </w:tc>
        <w:tc>
          <w:tcPr>
            <w:tcW w:w="675" w:type="dxa"/>
            <w:vAlign w:val="center"/>
          </w:tcPr>
          <w:p w14:paraId="7FB34C8B">
            <w:pPr>
              <w:pStyle w:val="12"/>
              <w:jc w:val="center"/>
              <w:rPr>
                <w:rFonts w:hint="default" w:ascii="Times New Roman" w:eastAsia="宋体"/>
                <w:sz w:val="20"/>
                <w:lang w:val="en-US" w:eastAsia="zh-CN"/>
              </w:rPr>
            </w:pPr>
            <w:r>
              <w:rPr>
                <w:rFonts w:hint="eastAsia"/>
                <w:sz w:val="20"/>
                <w:lang w:val="en-US" w:eastAsia="zh-CN"/>
              </w:rPr>
              <w:t>8</w:t>
            </w:r>
          </w:p>
        </w:tc>
      </w:tr>
      <w:tr w14:paraId="2B1E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41" w:type="dxa"/>
            <w:vMerge w:val="continue"/>
            <w:tcBorders>
              <w:top w:val="nil"/>
              <w:bottom w:val="nil"/>
            </w:tcBorders>
          </w:tcPr>
          <w:p w14:paraId="5FE50A7F">
            <w:pPr>
              <w:rPr>
                <w:sz w:val="2"/>
                <w:szCs w:val="2"/>
              </w:rPr>
            </w:pPr>
          </w:p>
        </w:tc>
        <w:tc>
          <w:tcPr>
            <w:tcW w:w="1361" w:type="dxa"/>
          </w:tcPr>
          <w:p w14:paraId="0CB87762">
            <w:pPr>
              <w:pStyle w:val="12"/>
              <w:spacing w:before="121"/>
              <w:ind w:left="259"/>
              <w:rPr>
                <w:rFonts w:ascii="黑体" w:eastAsia="黑体"/>
                <w:sz w:val="21"/>
              </w:rPr>
            </w:pPr>
            <w:r>
              <w:rPr>
                <w:rFonts w:hint="eastAsia" w:ascii="黑体" w:eastAsia="黑体"/>
                <w:sz w:val="21"/>
              </w:rPr>
              <w:t>社会效益</w:t>
            </w:r>
          </w:p>
        </w:tc>
        <w:tc>
          <w:tcPr>
            <w:tcW w:w="596" w:type="dxa"/>
          </w:tcPr>
          <w:p w14:paraId="6F6FCD64">
            <w:pPr>
              <w:pStyle w:val="12"/>
              <w:jc w:val="center"/>
              <w:rPr>
                <w:rFonts w:hint="default" w:ascii="Times New Roman" w:eastAsia="宋体"/>
                <w:sz w:val="20"/>
                <w:lang w:val="en-US" w:eastAsia="zh-CN"/>
              </w:rPr>
            </w:pPr>
            <w:r>
              <w:rPr>
                <w:rFonts w:hint="eastAsia"/>
                <w:sz w:val="20"/>
                <w:lang w:val="en-US" w:eastAsia="zh-CN"/>
              </w:rPr>
              <w:t>10</w:t>
            </w:r>
          </w:p>
        </w:tc>
        <w:tc>
          <w:tcPr>
            <w:tcW w:w="1963" w:type="dxa"/>
            <w:tcBorders>
              <w:top w:val="single" w:color="auto" w:sz="4" w:space="0"/>
              <w:bottom w:val="single" w:color="auto" w:sz="4" w:space="0"/>
            </w:tcBorders>
          </w:tcPr>
          <w:p w14:paraId="65DD06C7">
            <w:pPr>
              <w:pStyle w:val="12"/>
              <w:spacing w:before="19" w:line="252" w:lineRule="exact"/>
              <w:ind w:left="44"/>
              <w:rPr>
                <w:rFonts w:hint="eastAsia" w:ascii="黑体" w:hAnsi="黑体" w:eastAsia="宋体" w:cs="宋体"/>
                <w:kern w:val="2"/>
                <w:sz w:val="20"/>
                <w:lang w:val="en-US" w:eastAsia="zh-CN" w:bidi="ar-SA"/>
              </w:rPr>
            </w:pPr>
            <w:r>
              <w:rPr>
                <w:rFonts w:hint="eastAsia" w:ascii="黑体" w:hAnsi="黑体" w:cs="宋体"/>
                <w:kern w:val="2"/>
                <w:sz w:val="20"/>
                <w:lang w:val="en-US" w:eastAsia="zh-CN" w:bidi="ar-SA"/>
              </w:rPr>
              <w:t>服务企业满意度</w:t>
            </w:r>
          </w:p>
        </w:tc>
        <w:tc>
          <w:tcPr>
            <w:tcW w:w="803" w:type="dxa"/>
          </w:tcPr>
          <w:p w14:paraId="5C56AD44">
            <w:pPr>
              <w:pStyle w:val="12"/>
              <w:jc w:val="center"/>
              <w:rPr>
                <w:rFonts w:hint="default" w:ascii="Times New Roman" w:eastAsia="宋体"/>
                <w:sz w:val="20"/>
                <w:lang w:val="en-US" w:eastAsia="zh-CN"/>
              </w:rPr>
            </w:pPr>
            <w:r>
              <w:rPr>
                <w:rFonts w:hint="eastAsia"/>
                <w:sz w:val="20"/>
                <w:lang w:val="en-US" w:eastAsia="zh-CN"/>
              </w:rPr>
              <w:t>10</w:t>
            </w:r>
          </w:p>
        </w:tc>
        <w:tc>
          <w:tcPr>
            <w:tcW w:w="3883" w:type="dxa"/>
          </w:tcPr>
          <w:p w14:paraId="24103636">
            <w:pPr>
              <w:pStyle w:val="12"/>
              <w:rPr>
                <w:rFonts w:ascii="Times New Roman"/>
                <w:sz w:val="20"/>
              </w:rPr>
            </w:pPr>
            <w:r>
              <w:rPr>
                <w:rFonts w:hint="eastAsia"/>
                <w:sz w:val="20"/>
                <w:szCs w:val="20"/>
              </w:rPr>
              <w:t>完成计划目标满分，未完成按比例扣分</w:t>
            </w:r>
          </w:p>
        </w:tc>
        <w:tc>
          <w:tcPr>
            <w:tcW w:w="675" w:type="dxa"/>
            <w:vAlign w:val="center"/>
          </w:tcPr>
          <w:p w14:paraId="6E9F9FD2">
            <w:pPr>
              <w:pStyle w:val="12"/>
              <w:jc w:val="center"/>
              <w:rPr>
                <w:rFonts w:hint="eastAsia" w:ascii="Times New Roman" w:eastAsia="宋体"/>
                <w:sz w:val="20"/>
                <w:lang w:val="en-US" w:eastAsia="zh-CN"/>
              </w:rPr>
            </w:pPr>
            <w:r>
              <w:rPr>
                <w:rFonts w:hint="eastAsia"/>
                <w:sz w:val="20"/>
                <w:lang w:val="en-US" w:eastAsia="zh-CN"/>
              </w:rPr>
              <w:t>8</w:t>
            </w:r>
          </w:p>
        </w:tc>
      </w:tr>
      <w:tr w14:paraId="254A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41" w:type="dxa"/>
            <w:tcBorders>
              <w:top w:val="nil"/>
            </w:tcBorders>
          </w:tcPr>
          <w:p w14:paraId="3ABDCA8D">
            <w:pPr>
              <w:rPr>
                <w:sz w:val="2"/>
                <w:szCs w:val="2"/>
              </w:rPr>
            </w:pPr>
          </w:p>
        </w:tc>
        <w:tc>
          <w:tcPr>
            <w:tcW w:w="1361" w:type="dxa"/>
          </w:tcPr>
          <w:p w14:paraId="4BC26118">
            <w:pPr>
              <w:pStyle w:val="12"/>
              <w:spacing w:before="121"/>
              <w:ind w:left="259"/>
              <w:rPr>
                <w:rFonts w:hint="eastAsia" w:ascii="黑体" w:eastAsia="黑体"/>
                <w:sz w:val="21"/>
                <w:lang w:eastAsia="zh-CN"/>
              </w:rPr>
            </w:pPr>
            <w:r>
              <w:rPr>
                <w:rFonts w:hint="eastAsia" w:ascii="黑体" w:eastAsia="黑体"/>
                <w:sz w:val="21"/>
                <w:lang w:eastAsia="zh-CN"/>
              </w:rPr>
              <w:t>总分</w:t>
            </w:r>
          </w:p>
        </w:tc>
        <w:tc>
          <w:tcPr>
            <w:tcW w:w="596" w:type="dxa"/>
          </w:tcPr>
          <w:p w14:paraId="7E61A6EA">
            <w:pPr>
              <w:pStyle w:val="12"/>
              <w:jc w:val="center"/>
              <w:rPr>
                <w:rFonts w:hint="eastAsia"/>
                <w:sz w:val="20"/>
                <w:lang w:val="en-US" w:eastAsia="zh-CN"/>
              </w:rPr>
            </w:pPr>
          </w:p>
        </w:tc>
        <w:tc>
          <w:tcPr>
            <w:tcW w:w="1963" w:type="dxa"/>
            <w:tcBorders>
              <w:top w:val="single" w:color="auto" w:sz="4" w:space="0"/>
              <w:bottom w:val="single" w:color="auto" w:sz="4" w:space="0"/>
            </w:tcBorders>
          </w:tcPr>
          <w:p w14:paraId="323CF18D">
            <w:pPr>
              <w:pStyle w:val="12"/>
              <w:spacing w:before="18" w:line="253" w:lineRule="exact"/>
              <w:rPr>
                <w:rFonts w:hint="eastAsia" w:ascii="黑体" w:hAnsi="黑体" w:eastAsia="宋体" w:cs="宋体"/>
                <w:sz w:val="20"/>
                <w:lang w:val="en-US"/>
              </w:rPr>
            </w:pPr>
          </w:p>
        </w:tc>
        <w:tc>
          <w:tcPr>
            <w:tcW w:w="803" w:type="dxa"/>
          </w:tcPr>
          <w:p w14:paraId="73497C80">
            <w:pPr>
              <w:pStyle w:val="12"/>
              <w:jc w:val="center"/>
              <w:rPr>
                <w:rFonts w:hint="eastAsia"/>
                <w:sz w:val="20"/>
                <w:lang w:val="en-US" w:eastAsia="zh-CN"/>
              </w:rPr>
            </w:pPr>
          </w:p>
        </w:tc>
        <w:tc>
          <w:tcPr>
            <w:tcW w:w="3883" w:type="dxa"/>
          </w:tcPr>
          <w:p w14:paraId="4D08FE69">
            <w:pPr>
              <w:pStyle w:val="12"/>
              <w:rPr>
                <w:rFonts w:hint="eastAsia"/>
                <w:sz w:val="20"/>
                <w:szCs w:val="20"/>
              </w:rPr>
            </w:pPr>
          </w:p>
        </w:tc>
        <w:tc>
          <w:tcPr>
            <w:tcW w:w="675" w:type="dxa"/>
            <w:vAlign w:val="center"/>
          </w:tcPr>
          <w:p w14:paraId="1C0E5C06">
            <w:pPr>
              <w:pStyle w:val="12"/>
              <w:jc w:val="center"/>
              <w:rPr>
                <w:rFonts w:hint="default"/>
                <w:sz w:val="20"/>
                <w:lang w:val="en-US" w:eastAsia="zh-CN"/>
              </w:rPr>
            </w:pPr>
            <w:r>
              <w:rPr>
                <w:rFonts w:hint="eastAsia"/>
                <w:sz w:val="20"/>
                <w:lang w:val="en-US" w:eastAsia="zh-CN"/>
              </w:rPr>
              <w:t>92.13</w:t>
            </w:r>
          </w:p>
        </w:tc>
      </w:tr>
    </w:tbl>
    <w:p w14:paraId="588DBFC7">
      <w:pPr>
        <w:rPr>
          <w:rFonts w:hint="eastAsia" w:ascii="仿宋_GB2312" w:hAnsi="Times New Roman" w:eastAsia="仿宋_GB2312" w:cs="Times New Roman"/>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867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D13B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D13B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12328"/>
    <w:multiLevelType w:val="singleLevel"/>
    <w:tmpl w:val="CB512328"/>
    <w:lvl w:ilvl="0" w:tentative="0">
      <w:start w:val="3"/>
      <w:numFmt w:val="chineseCounting"/>
      <w:suff w:val="nothing"/>
      <w:lvlText w:val="%1、"/>
      <w:lvlJc w:val="left"/>
      <w:rPr>
        <w:rFonts w:hint="eastAsia"/>
      </w:rPr>
    </w:lvl>
  </w:abstractNum>
  <w:abstractNum w:abstractNumId="1">
    <w:nsid w:val="F8A83C67"/>
    <w:multiLevelType w:val="singleLevel"/>
    <w:tmpl w:val="F8A83C67"/>
    <w:lvl w:ilvl="0" w:tentative="0">
      <w:start w:val="1"/>
      <w:numFmt w:val="decimal"/>
      <w:suff w:val="nothing"/>
      <w:lvlText w:val="%1、"/>
      <w:lvlJc w:val="left"/>
    </w:lvl>
  </w:abstractNum>
  <w:abstractNum w:abstractNumId="2">
    <w:nsid w:val="08CED870"/>
    <w:multiLevelType w:val="singleLevel"/>
    <w:tmpl w:val="08CED870"/>
    <w:lvl w:ilvl="0" w:tentative="0">
      <w:start w:val="2"/>
      <w:numFmt w:val="decimal"/>
      <w:lvlText w:val="%1."/>
      <w:lvlJc w:val="left"/>
      <w:pPr>
        <w:tabs>
          <w:tab w:val="left" w:pos="312"/>
        </w:tabs>
      </w:pPr>
    </w:lvl>
  </w:abstractNum>
  <w:abstractNum w:abstractNumId="3">
    <w:nsid w:val="18030EC1"/>
    <w:multiLevelType w:val="singleLevel"/>
    <w:tmpl w:val="18030EC1"/>
    <w:lvl w:ilvl="0" w:tentative="0">
      <w:start w:val="2"/>
      <w:numFmt w:val="chineseCounting"/>
      <w:suff w:val="nothing"/>
      <w:lvlText w:val="（%1）"/>
      <w:lvlJc w:val="left"/>
      <w:rPr>
        <w:rFonts w:hint="eastAsia"/>
      </w:rPr>
    </w:lvl>
  </w:abstractNum>
  <w:abstractNum w:abstractNumId="4">
    <w:nsid w:val="1A794479"/>
    <w:multiLevelType w:val="singleLevel"/>
    <w:tmpl w:val="1A794479"/>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RiZWRlYWVjODIxN2E2NjdkNzVlNzI5NDI5OWEifQ=="/>
  </w:docVars>
  <w:rsids>
    <w:rsidRoot w:val="5A946C1A"/>
    <w:rsid w:val="112E216D"/>
    <w:rsid w:val="230C52E0"/>
    <w:rsid w:val="274E34F6"/>
    <w:rsid w:val="378051F6"/>
    <w:rsid w:val="4737730E"/>
    <w:rsid w:val="48B80C22"/>
    <w:rsid w:val="51CD7A16"/>
    <w:rsid w:val="581B6924"/>
    <w:rsid w:val="5A946C1A"/>
    <w:rsid w:val="619E1C26"/>
    <w:rsid w:val="66BC2B4E"/>
    <w:rsid w:val="7FAD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1"/>
    <w:pPr>
      <w:ind w:right="1484"/>
      <w:jc w:val="center"/>
      <w:outlineLvl w:val="0"/>
    </w:pPr>
    <w:rPr>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rPr>
      <w:rFonts w:ascii="Times New Roman" w:hAnsi="Times New Roman"/>
    </w:rPr>
  </w:style>
  <w:style w:type="paragraph" w:styleId="3">
    <w:name w:val="Body Text"/>
    <w:basedOn w:val="1"/>
    <w:next w:val="4"/>
    <w:qFormat/>
    <w:uiPriority w:val="1"/>
    <w:rPr>
      <w:rFonts w:ascii="宋体" w:hAnsi="宋体" w:eastAsia="宋体" w:cs="宋体"/>
      <w:sz w:val="32"/>
      <w:szCs w:val="32"/>
      <w:lang w:val="zh-CN" w:eastAsia="zh-CN" w:bidi="zh-CN"/>
    </w:rPr>
  </w:style>
  <w:style w:type="paragraph" w:customStyle="1" w:styleId="4">
    <w:name w:val="Quote"/>
    <w:basedOn w:val="1"/>
    <w:next w:val="1"/>
    <w:qFormat/>
    <w:uiPriority w:val="29"/>
    <w:rPr>
      <w:i/>
      <w:iCs/>
      <w:color w:val="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4623</Words>
  <Characters>4737</Characters>
  <Lines>0</Lines>
  <Paragraphs>0</Paragraphs>
  <TotalTime>12</TotalTime>
  <ScaleCrop>false</ScaleCrop>
  <LinksUpToDate>false</LinksUpToDate>
  <CharactersWithSpaces>6042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2023-03-21T03:27:00Z</dcterms:created>
  <dc:creator>Lenovo</dc:creator>
  <cp:lastModifiedBy>I</cp:lastModifiedBy>
  <dcterms:modified xsi:type="dcterms:W3CDTF">2024-09-14T09:56:44Z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54B01137712F44B996EAA7D807E4CF0F_13</vt:lpwstr>
  </property>
</Properties>
</file>