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仿宋_GB2312" w:hAnsi="仿宋_GB2312" w:eastAsia="仿宋_GB2312" w:cs="仿宋_GB2312"/>
          <w:color w:val="0C0C0C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</w:p>
    <w:p>
      <w:pPr>
        <w:pStyle w:val="7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3" w:beforeLines="600" w:after="0" w:line="420" w:lineRule="exact"/>
        <w:jc w:val="center"/>
        <w:textAlignment w:val="auto"/>
        <w:rPr>
          <w:rFonts w:hint="eastAsia" w:ascii="仿宋_GB2312" w:hAnsi="仿宋_GB2312" w:eastAsia="仿宋_GB2312" w:cs="仿宋_GB2312"/>
          <w:color w:val="0C0C0C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pacing w:val="0"/>
          <w:w w:val="100"/>
          <w:sz w:val="32"/>
          <w:szCs w:val="32"/>
        </w:rPr>
        <w:t>红谷府</w:t>
      </w:r>
      <w:r>
        <w:rPr>
          <w:rFonts w:hint="eastAsia" w:ascii="仿宋_GB2312" w:hAnsi="仿宋_GB2312" w:eastAsia="仿宋_GB2312" w:cs="仿宋_GB2312"/>
          <w:color w:val="0C0C0C"/>
          <w:spacing w:val="0"/>
          <w:w w:val="100"/>
          <w:sz w:val="32"/>
          <w:szCs w:val="32"/>
          <w:lang w:val="en-US" w:eastAsia="zh-CN"/>
        </w:rPr>
        <w:t>办规</w:t>
      </w:r>
      <w:r>
        <w:rPr>
          <w:rFonts w:hint="eastAsia" w:ascii="仿宋_GB2312" w:hAnsi="仿宋_GB2312" w:eastAsia="仿宋_GB2312" w:cs="仿宋_GB2312"/>
          <w:color w:val="0C0C0C"/>
          <w:spacing w:val="0"/>
          <w:w w:val="10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0C0C0C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C0C0C"/>
          <w:spacing w:val="0"/>
          <w:w w:val="1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C0C0C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C0C0C"/>
          <w:spacing w:val="0"/>
          <w:w w:val="1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华文中宋" w:eastAsia="方正小标宋简体" w:cs="华文中宋"/>
          <w:b/>
          <w:bCs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关于印发《红谷滩区义务教育阶段五类后（含五类）生源量化积分入学实施细则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（试行）》的通知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各乡镇、街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区委各部门，区直各单位，各人民团体，驻区有关单位：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《红谷滩区义务教育阶段五类后（含五类）生源量化积分入学实施细则（试行）》已经红谷滩区人民政府2023年第11次常务会议审议通过，现印发给你们，请认真贯彻执行。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2023年5月24日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红谷滩区义务教育阶段五类后（含五类）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生源量化积分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入学实施细则（试行）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为进一步规范义务教育阶段学校入学管理，有序做好随迁子女入学工作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根据《南昌市教育局关于做好202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年义务教育免试就近入学工作的实施意见》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的文件精神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，结合我区实际，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特制定《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红谷滩区义务教育阶段五类后（含五类）生源量化积分入学实施细则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（试行）》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28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highlight w:val="none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highlight w:val="none"/>
          <w:lang w:val="zh-CN" w:eastAsia="zh-CN" w:bidi="zh-CN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kern w:val="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当前，红谷滩区义务教育阶段学校总体学位充足，但部分学校学位相对紧张，为更加科学合理、公平公正地保障随迁子女入学，我区将以量化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instrText xml:space="preserve"> HYPERLINK "https://baike.baidu.com/item/%E7%A7%AF%E5%88%86/5749068?fromModule=lemma_inlink" \t "https://baike.baidu.com/item/%E7%A7%AF%E5%88%86%E5%85%A5%E5%AD%A6/_blank" </w:instrTex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积分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排名方式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，按积分高低的顺序，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以随迁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子女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为主的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五类后（含五类）生源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入读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我区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办学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，促进教育公平与社会和谐。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28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highlight w:val="none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highlight w:val="none"/>
          <w:lang w:val="zh-CN" w:eastAsia="zh-CN" w:bidi="zh-CN"/>
        </w:rPr>
        <w:t>二、适用范围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《南昌市教育局关于做好202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年义务教育免试就近入学工作的实施意见》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文件中规定的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zh-CN" w:eastAsia="zh-CN" w:bidi="zh-CN"/>
        </w:rPr>
        <w:t>五类后（含五类）生源。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zh-CN"/>
        </w:rPr>
        <w:t>转学安排参照此细则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28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highlight w:val="none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3"/>
          <w:kern w:val="2"/>
          <w:sz w:val="32"/>
          <w:szCs w:val="32"/>
          <w:highlight w:val="none"/>
          <w:lang w:val="zh-CN" w:eastAsia="zh-CN" w:bidi="zh-CN"/>
        </w:rPr>
        <w:t>三、积分构成及计算方法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highlight w:val="none"/>
        </w:rPr>
        <w:t>量化积分由户籍积分、居住地积分和社会贡献度积分三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highlight w:val="none"/>
          <w:lang w:val="en-US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highlight w:val="none"/>
        </w:rPr>
        <w:t>累积构成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其中，居住地积分取B、C、D、E、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F当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中的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最高分计分，社会贡献度积分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H两项累积计分。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highlight w:val="none"/>
        </w:rPr>
        <w:t>申请入学的适龄儿童、小学毕</w:t>
      </w:r>
      <w:r>
        <w:rPr>
          <w:rFonts w:hint="eastAsia" w:ascii="仿宋_GB2312" w:hAnsi="仿宋_GB2312" w:eastAsia="仿宋_GB2312" w:cs="仿宋_GB2312"/>
          <w:color w:val="auto"/>
          <w:spacing w:val="-1"/>
          <w:highlight w:val="none"/>
        </w:rPr>
        <w:t>业生及申请转学插班的学生统称为</w:t>
      </w:r>
      <w:r>
        <w:rPr>
          <w:rFonts w:hint="eastAsia" w:ascii="仿宋_GB2312" w:hAnsi="仿宋_GB2312" w:eastAsia="仿宋_GB2312" w:cs="仿宋_GB2312"/>
          <w:color w:val="auto"/>
          <w:spacing w:val="-2"/>
          <w:highlight w:val="none"/>
        </w:rPr>
        <w:t>学位申请人</w:t>
      </w:r>
      <w:r>
        <w:rPr>
          <w:rFonts w:hint="eastAsia" w:ascii="仿宋_GB2312" w:hAnsi="仿宋_GB2312" w:eastAsia="仿宋_GB2312" w:cs="仿宋_GB2312"/>
          <w:color w:val="auto"/>
          <w:spacing w:val="-5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3"/>
          <w:highlight w:val="none"/>
        </w:rPr>
        <w:t>学位申</w:t>
      </w:r>
      <w:r>
        <w:rPr>
          <w:rFonts w:hint="eastAsia" w:ascii="仿宋_GB2312" w:hAnsi="仿宋_GB2312" w:eastAsia="仿宋_GB2312" w:cs="仿宋_GB2312"/>
          <w:color w:val="auto"/>
          <w:spacing w:val="-1"/>
          <w:highlight w:val="none"/>
        </w:rPr>
        <w:t>请人的父</w:t>
      </w:r>
      <w:r>
        <w:rPr>
          <w:rFonts w:hint="eastAsia" w:ascii="仿宋_GB2312" w:hAnsi="仿宋_GB2312" w:eastAsia="仿宋_GB2312" w:cs="仿宋_GB2312"/>
          <w:color w:val="auto"/>
          <w:spacing w:val="-1"/>
        </w:rPr>
        <w:t>亲、母亲或其法定监护人统称为</w:t>
      </w:r>
      <w:r>
        <w:rPr>
          <w:rFonts w:hint="eastAsia" w:ascii="仿宋_GB2312" w:hAnsi="仿宋_GB2312" w:eastAsia="仿宋_GB2312" w:cs="仿宋_GB2312"/>
          <w:color w:val="auto"/>
          <w:spacing w:val="-5"/>
        </w:rPr>
        <w:t>父母</w:t>
      </w:r>
      <w:r>
        <w:rPr>
          <w:rFonts w:hint="eastAsia" w:ascii="仿宋_GB2312" w:hAnsi="仿宋_GB2312" w:eastAsia="仿宋_GB2312" w:cs="仿宋_GB2312"/>
          <w:color w:val="auto"/>
          <w:spacing w:val="-3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</w:rPr>
        <w:t>户籍积分：学位申请人或其父母户籍对应分值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A.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学位申请人或其父母为红谷滩区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户籍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，按迁入最新时间开始计算，每满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1个月计0.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分，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每人最高计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分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学位申请人和其父母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可累积计分，最高计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分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right="277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</w:rPr>
        <w:t>居住地积分：学位申请人或其父母实际居住地对应分值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B.房屋权证性质为非住宅（公寓、商住楼）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，但不符合四类生源的（即：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房屋产权所有人为其父或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母或学位申请人本人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房产在学区范围内，学位申请人及其父母户口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不全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在学区范围内,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户主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为其父或其母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计6分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C.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</w:rPr>
        <w:t>屋产权所有人为学位申请人或其父或其母，房屋权证性质为住宅且在学区范围内，但该房产学位被占用的，计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</w:rPr>
        <w:t>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D.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学位申请人或其父母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已购买红谷滩区住宅并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已实际入住，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但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未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在规定时间内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取得房屋权证的，凭购房合同、契税及水电使用证明可计分，实际入住每满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1个月计0.5分，最高计6分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E.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学位申请人或其父母持有红谷滩区居住证的，每满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1个月计0.5分，最高计6分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F.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学位申请人或其父母在红谷滩区租房（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租房应当通过商品房屋租赁服务平台进行房屋租赁合同网上签约、登记备案）且实际入住且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房产在规定年限内未占用学位的可计分，每满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1个月计0.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分，最高计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分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right="277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</w:rPr>
        <w:t>社会贡献度积分：学位申请人父母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lang w:eastAsia="zh-CN"/>
        </w:rPr>
        <w:t>职工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</w:rPr>
        <w:t>社保或工商登记对应分值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auto"/>
          <w:spacing w:val="0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G.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学位申请人父母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</w:rPr>
        <w:t>在红谷滩区持续缴纳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基本养老保险（若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中断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超过六个月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则按最新缴纳时间开始计算）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，每缴纳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1个月计0.</w:t>
      </w:r>
      <w:r>
        <w:rPr>
          <w:rFonts w:ascii="仿宋_GB2312" w:hAnsi="仿宋_GB2312" w:eastAsia="仿宋_GB2312" w:cs="仿宋_GB2312"/>
          <w:color w:val="auto"/>
          <w:spacing w:val="0"/>
          <w:lang w:val="en-US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分，上不封顶，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父母可累计</w:t>
      </w:r>
      <w:r>
        <w:rPr>
          <w:rFonts w:hint="eastAsia" w:ascii="仿宋_GB2312" w:hAnsi="仿宋_GB2312" w:eastAsia="仿宋_GB2312" w:cs="仿宋_GB2312"/>
          <w:color w:val="auto"/>
          <w:spacing w:val="0"/>
          <w:lang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分；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H.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学位申请人父母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</w:rPr>
        <w:t>具有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住所地在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红谷滩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辖区内的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营业执照且在有效期内且处于正常经营状态的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，一个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家庭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只能使用一个有效营业执照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，自登记之日起，每满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1个月计0.</w:t>
      </w:r>
      <w:r>
        <w:rPr>
          <w:rFonts w:ascii="仿宋_GB2312" w:hAnsi="仿宋_GB2312" w:eastAsia="仿宋_GB2312" w:cs="仿宋_GB2312"/>
          <w:color w:val="auto"/>
          <w:spacing w:val="0"/>
          <w:lang w:val="en-US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/>
        </w:rPr>
        <w:t>分，上不封顶。</w:t>
      </w:r>
    </w:p>
    <w:p>
      <w:pPr>
        <w:ind w:firstLine="640" w:firstLineChars="200"/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本细则最终解释权归红谷滩区教育体育局所有。一至四类生源认定标准以南昌市教育局最新文件为准。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zQxYjFhN2NkNWNhNWE1ZWY3Y2RjYjZlNDYwMTUifQ=="/>
  </w:docVars>
  <w:rsids>
    <w:rsidRoot w:val="51246C4E"/>
    <w:rsid w:val="139F6A20"/>
    <w:rsid w:val="1C784A4D"/>
    <w:rsid w:val="2C743B92"/>
    <w:rsid w:val="30B759A8"/>
    <w:rsid w:val="347B762C"/>
    <w:rsid w:val="381E1FD8"/>
    <w:rsid w:val="3BF13165"/>
    <w:rsid w:val="3D662BB9"/>
    <w:rsid w:val="41676DC4"/>
    <w:rsid w:val="46C63F23"/>
    <w:rsid w:val="4C762E0A"/>
    <w:rsid w:val="4E5C66FB"/>
    <w:rsid w:val="4ED104E5"/>
    <w:rsid w:val="4F79061A"/>
    <w:rsid w:val="51246C4E"/>
    <w:rsid w:val="516D0EFD"/>
    <w:rsid w:val="57045D3E"/>
    <w:rsid w:val="5CD80107"/>
    <w:rsid w:val="5E9E316C"/>
    <w:rsid w:val="63981C47"/>
    <w:rsid w:val="648D245D"/>
    <w:rsid w:val="69631728"/>
    <w:rsid w:val="6E0526B5"/>
    <w:rsid w:val="6F160A49"/>
    <w:rsid w:val="6F9A79BD"/>
    <w:rsid w:val="71C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Times New Roman" w:hAnsi="Arial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1374</Words>
  <Characters>1411</Characters>
  <Lines>0</Lines>
  <Paragraphs>0</Paragraphs>
  <TotalTime>0</TotalTime>
  <ScaleCrop>false</ScaleCrop>
  <LinksUpToDate>false</LinksUpToDate>
  <CharactersWithSpaces>1432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2023-02-03T00:55:00Z</dcterms:created>
  <dc:creator>过客</dc:creator>
  <cp:lastModifiedBy>心如薄荷天然凉</cp:lastModifiedBy>
  <cp:lastPrinted>2023-05-24T08:40:00Z</cp:lastPrinted>
  <dcterms:modified xsi:type="dcterms:W3CDTF">2023-05-25T06:37:26Z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04F7E6EAB02D4E77B454AC24A38DA1FC_13</vt:lpwstr>
  </property>
</Properties>
</file>